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968BC4" w14:textId="3C119A60" w:rsidR="00F46588" w:rsidRPr="003869BE" w:rsidRDefault="002D187E" w:rsidP="00F46588">
      <w:pPr>
        <w:pStyle w:val="Nagwek"/>
        <w:jc w:val="right"/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</w:pPr>
      <w:r>
        <w:rPr>
          <w:b/>
          <w:bCs/>
          <w:sz w:val="24"/>
          <w:szCs w:val="24"/>
        </w:rPr>
        <w:tab/>
      </w:r>
      <w:r w:rsidR="00F46588"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 xml:space="preserve">Załącznik nr </w:t>
      </w:r>
      <w:r w:rsidR="00F46588"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>3</w:t>
      </w:r>
      <w:r w:rsidR="00F46588"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 xml:space="preserve"> do SWZ</w:t>
      </w:r>
    </w:p>
    <w:p w14:paraId="557CB6B1" w14:textId="77777777" w:rsidR="00F46588" w:rsidRPr="007F21F8" w:rsidRDefault="00F46588" w:rsidP="00F46588">
      <w:pPr>
        <w:tabs>
          <w:tab w:val="center" w:pos="4536"/>
          <w:tab w:val="right" w:pos="9072"/>
        </w:tabs>
        <w:spacing w:after="0" w:line="240" w:lineRule="auto"/>
        <w:jc w:val="right"/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</w:pPr>
      <w:r w:rsidRPr="003869BE">
        <w:rPr>
          <w:rFonts w:eastAsia="Times New Roman" w:cs="Times New Roman"/>
          <w:i/>
          <w:color w:val="385623"/>
          <w:sz w:val="16"/>
          <w:szCs w:val="24"/>
          <w:lang w:val="x-none" w:eastAsia="x-none"/>
        </w:rPr>
        <w:t xml:space="preserve">postępowanie </w:t>
      </w:r>
      <w:r w:rsidRPr="003869BE">
        <w:rPr>
          <w:rFonts w:eastAsia="Times New Roman" w:cs="Times New Roman"/>
          <w:b/>
          <w:i/>
          <w:color w:val="385623"/>
          <w:sz w:val="16"/>
          <w:szCs w:val="24"/>
          <w:lang w:val="x-none" w:eastAsia="x-none"/>
        </w:rPr>
        <w:t>SZP/24</w:t>
      </w:r>
      <w:r>
        <w:rPr>
          <w:rFonts w:eastAsia="Times New Roman" w:cs="Times New Roman"/>
          <w:b/>
          <w:i/>
          <w:color w:val="385623"/>
          <w:sz w:val="16"/>
          <w:szCs w:val="24"/>
          <w:lang w:val="x-none" w:eastAsia="x-none"/>
        </w:rPr>
        <w:t>3</w:t>
      </w:r>
      <w:r w:rsidRPr="003869BE">
        <w:rPr>
          <w:rFonts w:eastAsia="Times New Roman" w:cs="Times New Roman"/>
          <w:b/>
          <w:i/>
          <w:color w:val="385623"/>
          <w:sz w:val="16"/>
          <w:szCs w:val="24"/>
          <w:lang w:val="x-none" w:eastAsia="x-none"/>
        </w:rPr>
        <w:t>-</w:t>
      </w:r>
      <w:r>
        <w:rPr>
          <w:rFonts w:eastAsia="Times New Roman" w:cs="Times New Roman"/>
          <w:b/>
          <w:i/>
          <w:color w:val="385623"/>
          <w:sz w:val="16"/>
          <w:szCs w:val="24"/>
          <w:lang w:val="x-none" w:eastAsia="x-none"/>
        </w:rPr>
        <w:t>042</w:t>
      </w:r>
      <w:r w:rsidRPr="003869BE">
        <w:rPr>
          <w:rFonts w:eastAsia="Times New Roman" w:cs="Times New Roman"/>
          <w:b/>
          <w:i/>
          <w:color w:val="385623"/>
          <w:sz w:val="16"/>
          <w:szCs w:val="24"/>
          <w:lang w:val="x-none" w:eastAsia="x-none"/>
        </w:rPr>
        <w:t>/20</w:t>
      </w:r>
      <w:r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>26</w:t>
      </w:r>
    </w:p>
    <w:p w14:paraId="56ABF3F0" w14:textId="2C7991FF" w:rsidR="005213D6" w:rsidRDefault="005213D6">
      <w:pPr>
        <w:rPr>
          <w:b/>
          <w:bCs/>
          <w:sz w:val="24"/>
          <w:szCs w:val="24"/>
        </w:rPr>
      </w:pPr>
    </w:p>
    <w:p w14:paraId="1DBA152F" w14:textId="77777777" w:rsidR="005213D6" w:rsidRDefault="002D187E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Szczegółowy opis przedmiotu zamówienia</w:t>
      </w:r>
    </w:p>
    <w:p w14:paraId="06CB5B22" w14:textId="77777777" w:rsidR="005213D6" w:rsidRDefault="002D187E">
      <w:pPr>
        <w:numPr>
          <w:ilvl w:val="0"/>
          <w:numId w:val="4"/>
        </w:numPr>
        <w:spacing w:after="0"/>
        <w:ind w:left="284" w:hanging="709"/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>Nazwa urządzenia: Źródło zasilania laboratoryjnego z możliwością odbioru energii</w:t>
      </w:r>
    </w:p>
    <w:p w14:paraId="4273DD86" w14:textId="77777777" w:rsidR="005213D6" w:rsidRDefault="002D187E">
      <w:pPr>
        <w:numPr>
          <w:ilvl w:val="0"/>
          <w:numId w:val="4"/>
        </w:numPr>
        <w:spacing w:after="0"/>
        <w:ind w:left="284" w:hanging="709"/>
        <w:rPr>
          <w:rFonts w:ascii="Arial" w:eastAsia="Arial" w:hAnsi="Arial" w:cs="Arial"/>
          <w:sz w:val="20"/>
          <w:szCs w:val="20"/>
        </w:rPr>
      </w:pPr>
      <w:r>
        <w:rPr>
          <w:b/>
          <w:bCs/>
          <w:sz w:val="20"/>
          <w:szCs w:val="20"/>
        </w:rPr>
        <w:t>Krótki opis urządzenia</w:t>
      </w:r>
      <w:r>
        <w:rPr>
          <w:sz w:val="20"/>
          <w:szCs w:val="20"/>
        </w:rPr>
        <w:t>: Aparatura naukowo-badawcza fabrycznie nowa</w:t>
      </w:r>
    </w:p>
    <w:p w14:paraId="72064407" w14:textId="77777777" w:rsidR="005213D6" w:rsidRDefault="002D187E" w:rsidP="00103612">
      <w:pPr>
        <w:spacing w:after="0"/>
        <w:ind w:left="284"/>
        <w:jc w:val="both"/>
      </w:pPr>
      <w:r>
        <w:t>Przedmiotem zamówienia jest jedno kompletne źródło zasilania laboratoryjnego z możliwością odbioru energii (praca dwukierunkowa), obejmujące wszystkie elementy niezbędne do realizacji badań określonych w OPZ.</w:t>
      </w:r>
    </w:p>
    <w:p w14:paraId="756CC563" w14:textId="77777777" w:rsidR="005213D6" w:rsidRDefault="002D187E" w:rsidP="00103612">
      <w:pPr>
        <w:spacing w:after="0"/>
        <w:ind w:left="284"/>
        <w:jc w:val="both"/>
        <w:rPr>
          <w:color w:val="FF0000"/>
          <w:sz w:val="20"/>
          <w:szCs w:val="20"/>
        </w:rPr>
      </w:pPr>
      <w:r>
        <w:t>Opis systemowy odnosi się do funkcjonalnej kompletności źródła zasilania w kontekście jego zastosowania badawczego w laboratorium LKE, w szczególności do zdolności zasilania, odbioru energii oraz bezpiecznej współpracy z istniejącą infrastrukturą pomiarowo-badawczą Zamawiającego, a nie do łączenia odrębnych postępowań zakupowych ani rozbudowy infrastruktury Zamawiającego.</w:t>
      </w:r>
    </w:p>
    <w:p w14:paraId="68DD691D" w14:textId="77777777" w:rsidR="005213D6" w:rsidRDefault="002D187E">
      <w:pPr>
        <w:numPr>
          <w:ilvl w:val="0"/>
          <w:numId w:val="4"/>
        </w:numPr>
        <w:spacing w:after="0"/>
        <w:ind w:left="284" w:hanging="709"/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Kod CPV:31200000-8 (główny), 31700000-3, 38970000-5 (pomocnicze) </w:t>
      </w:r>
    </w:p>
    <w:p w14:paraId="11166B02" w14:textId="77777777" w:rsidR="005213D6" w:rsidRDefault="002D187E">
      <w:pPr>
        <w:numPr>
          <w:ilvl w:val="0"/>
          <w:numId w:val="4"/>
        </w:numPr>
        <w:spacing w:after="0"/>
        <w:ind w:left="284" w:hanging="709"/>
        <w:rPr>
          <w:sz w:val="20"/>
          <w:szCs w:val="20"/>
        </w:rPr>
      </w:pPr>
      <w:r>
        <w:rPr>
          <w:b/>
          <w:bCs/>
          <w:sz w:val="20"/>
          <w:szCs w:val="20"/>
        </w:rPr>
        <w:t>Opis urządzenia przez parametry / specyfika techniczna</w:t>
      </w:r>
      <w:bookmarkStart w:id="0" w:name="bookmark=id.30j0zll" w:colFirst="0" w:colLast="0"/>
      <w:bookmarkStart w:id="1" w:name="bookmark=id.gjdgxs" w:colFirst="0" w:colLast="0"/>
      <w:bookmarkEnd w:id="0"/>
      <w:bookmarkEnd w:id="1"/>
    </w:p>
    <w:p w14:paraId="2413EDAA" w14:textId="77777777" w:rsidR="005213D6" w:rsidRDefault="005213D6">
      <w:pPr>
        <w:spacing w:after="0"/>
        <w:rPr>
          <w:b/>
          <w:bCs/>
          <w:sz w:val="20"/>
          <w:szCs w:val="20"/>
        </w:rPr>
      </w:pPr>
    </w:p>
    <w:tbl>
      <w:tblPr>
        <w:tblStyle w:val="ae"/>
        <w:tblW w:w="907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60"/>
        <w:gridCol w:w="4020"/>
        <w:gridCol w:w="4095"/>
      </w:tblGrid>
      <w:tr w:rsidR="005213D6" w14:paraId="5A1C3916" w14:textId="77777777">
        <w:trPr>
          <w:trHeight w:val="300"/>
          <w:jc w:val="center"/>
        </w:trPr>
        <w:tc>
          <w:tcPr>
            <w:tcW w:w="9075" w:type="dxa"/>
            <w:gridSpan w:val="3"/>
          </w:tcPr>
          <w:p w14:paraId="2B91669B" w14:textId="77777777" w:rsidR="005213D6" w:rsidRDefault="002D187E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Nazwa przedmiotu zamówienia: Źródło zasilania laboratoryjnego z możliwością odbioru energii (1 zestaw):</w:t>
            </w:r>
          </w:p>
          <w:p w14:paraId="041A059B" w14:textId="77777777" w:rsidR="005213D6" w:rsidRDefault="005213D6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  <w:p w14:paraId="7555AEBF" w14:textId="78A8E908" w:rsidR="005213D6" w:rsidRDefault="002D187E">
            <w:pPr>
              <w:spacing w:after="160" w:line="259" w:lineRule="auto"/>
              <w:jc w:val="both"/>
            </w:pPr>
            <w:r>
              <w:t>Źródła zasilania laboratoryjnego z możliwością odbioru energii z wykorzystaniem aktualnie stosowanych metod badawczych zgodnie z (EN IEC 61000-4-11</w:t>
            </w:r>
            <w:r w:rsidR="00EB1E5A">
              <w:t xml:space="preserve"> lub równoważne</w:t>
            </w:r>
            <w:r>
              <w:t>, EN IEC 61000-4-29</w:t>
            </w:r>
            <w:r w:rsidR="00EB1E5A">
              <w:t xml:space="preserve"> lub równoważne</w:t>
            </w:r>
            <w:r>
              <w:t>, EN IEC 61000-4-34</w:t>
            </w:r>
            <w:r w:rsidR="00EB1E5A">
              <w:t xml:space="preserve"> lub równoważne</w:t>
            </w:r>
            <w:r>
              <w:t>, EN IEC 61000-4-13</w:t>
            </w:r>
            <w:r w:rsidR="00EB1E5A">
              <w:t xml:space="preserve"> lub równoważne</w:t>
            </w:r>
            <w:r>
              <w:t>, EN IEC 61000-3-2</w:t>
            </w:r>
            <w:r w:rsidR="00EB1E5A">
              <w:t xml:space="preserve"> lub równoważne</w:t>
            </w:r>
            <w:r>
              <w:t>, EN IEC 61000-3-3</w:t>
            </w:r>
            <w:r w:rsidR="00EB1E5A">
              <w:t xml:space="preserve"> lub równoważne</w:t>
            </w:r>
            <w:r>
              <w:t>, EN IEC 61000-3-11</w:t>
            </w:r>
            <w:r w:rsidR="00EB1E5A">
              <w:t xml:space="preserve"> lub równoważne</w:t>
            </w:r>
            <w:r>
              <w:t>, EN IEC 61000-3-12</w:t>
            </w:r>
            <w:r w:rsidR="00EB1E5A">
              <w:t xml:space="preserve"> lub równoważne</w:t>
            </w:r>
            <w:r>
              <w:t>) oraz w celu przygotowania nowych metod badawczych zgodnie z FDIS EN IEC 61000-3-10</w:t>
            </w:r>
            <w:r w:rsidR="00EB1E5A">
              <w:t xml:space="preserve"> lub równoważne</w:t>
            </w:r>
            <w:r>
              <w:t>.</w:t>
            </w:r>
          </w:p>
          <w:p w14:paraId="731DD25D" w14:textId="352CBE99" w:rsidR="005213D6" w:rsidRDefault="002D187E">
            <w:pPr>
              <w:spacing w:after="160" w:line="259" w:lineRule="auto"/>
              <w:jc w:val="both"/>
              <w:rPr>
                <w:b/>
                <w:bCs/>
                <w:sz w:val="24"/>
                <w:szCs w:val="24"/>
              </w:rPr>
            </w:pPr>
            <w:r>
              <w:t>W skład źródła wchodzi zarówno źródło zasilania laboratoryjnego z możliwością odbioru energii z zintegrowanym generatorem zapadów, zaników i zmian napięcia zgodnym z IEC/PN-EN 61000-4-11</w:t>
            </w:r>
            <w:r w:rsidR="00EB1E5A">
              <w:t xml:space="preserve"> lub równoważne</w:t>
            </w:r>
            <w:r>
              <w:t>, IEC/PN-EN 61000-4-34</w:t>
            </w:r>
            <w:r w:rsidR="00EB1E5A">
              <w:t xml:space="preserve"> lub równoważne</w:t>
            </w:r>
            <w:r>
              <w:t xml:space="preserve"> w układzie zasilania trójfazowym połączeń w trójkąt i w gwiazdę AC (16 2/3Hz, 50Hz, 60Hz) dla napięcia międzyfazowego 0-690V i prądzie znamionowym min. 100 A / fazę, a także niezbędne mobilne stojaki pomiarowe, które muszą zostać połączone z będącymi na wyposażeniu Zamawiającego normatywnymi stanowiskami i oprogramowaniem, co umożliwi utworzenie nisko energochłonnych stanowisk badawczych dla urządzeń energoelektronicznych z siecią zasilania trójfazowego o dużej mocy z cyrkulującym obiegiem mocy.</w:t>
            </w:r>
          </w:p>
        </w:tc>
      </w:tr>
      <w:tr w:rsidR="005213D6" w14:paraId="7646C6B3" w14:textId="77777777">
        <w:trPr>
          <w:trHeight w:val="431"/>
          <w:jc w:val="center"/>
        </w:trPr>
        <w:tc>
          <w:tcPr>
            <w:tcW w:w="9075" w:type="dxa"/>
            <w:gridSpan w:val="3"/>
          </w:tcPr>
          <w:p w14:paraId="07C6F236" w14:textId="77777777" w:rsidR="005213D6" w:rsidRDefault="002D187E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Parametry techniczne i funkcjonalne urządzenia</w:t>
            </w:r>
          </w:p>
        </w:tc>
      </w:tr>
      <w:tr w:rsidR="005213D6" w14:paraId="15D6ECE6" w14:textId="77777777">
        <w:trPr>
          <w:trHeight w:val="410"/>
          <w:jc w:val="center"/>
        </w:trPr>
        <w:tc>
          <w:tcPr>
            <w:tcW w:w="960" w:type="dxa"/>
            <w:vMerge w:val="restart"/>
            <w:vAlign w:val="center"/>
          </w:tcPr>
          <w:p w14:paraId="1441AD01" w14:textId="77777777" w:rsidR="005213D6" w:rsidRDefault="002D187E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4020" w:type="dxa"/>
            <w:vMerge w:val="restart"/>
            <w:vAlign w:val="center"/>
          </w:tcPr>
          <w:p w14:paraId="3696A919" w14:textId="77777777" w:rsidR="005213D6" w:rsidRDefault="002D187E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Wymagania zamawiającego</w:t>
            </w:r>
          </w:p>
        </w:tc>
        <w:tc>
          <w:tcPr>
            <w:tcW w:w="4095" w:type="dxa"/>
            <w:vAlign w:val="center"/>
          </w:tcPr>
          <w:p w14:paraId="4CE20497" w14:textId="77777777" w:rsidR="005213D6" w:rsidRDefault="002D187E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Oferowany parametr</w:t>
            </w:r>
          </w:p>
        </w:tc>
      </w:tr>
      <w:tr w:rsidR="005213D6" w14:paraId="2F057B09" w14:textId="77777777">
        <w:trPr>
          <w:trHeight w:val="427"/>
          <w:jc w:val="center"/>
        </w:trPr>
        <w:tc>
          <w:tcPr>
            <w:tcW w:w="960" w:type="dxa"/>
            <w:vMerge/>
            <w:vAlign w:val="center"/>
          </w:tcPr>
          <w:p w14:paraId="714AF770" w14:textId="77777777" w:rsidR="005213D6" w:rsidRDefault="005213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020" w:type="dxa"/>
            <w:vMerge/>
            <w:vAlign w:val="center"/>
          </w:tcPr>
          <w:p w14:paraId="64037341" w14:textId="77777777" w:rsidR="005213D6" w:rsidRDefault="005213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095" w:type="dxa"/>
            <w:vAlign w:val="center"/>
          </w:tcPr>
          <w:p w14:paraId="73697048" w14:textId="77777777" w:rsidR="005213D6" w:rsidRDefault="002D187E">
            <w:pPr>
              <w:spacing w:after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Wypełnia Wykonawca</w:t>
            </w:r>
          </w:p>
        </w:tc>
      </w:tr>
      <w:tr w:rsidR="005213D6" w14:paraId="50635139" w14:textId="77777777">
        <w:trPr>
          <w:trHeight w:val="729"/>
          <w:jc w:val="center"/>
        </w:trPr>
        <w:tc>
          <w:tcPr>
            <w:tcW w:w="4980" w:type="dxa"/>
            <w:gridSpan w:val="2"/>
            <w:vAlign w:val="center"/>
          </w:tcPr>
          <w:p w14:paraId="004DCBEF" w14:textId="77777777" w:rsidR="005213D6" w:rsidRDefault="002D187E">
            <w:pPr>
              <w:spacing w:after="0" w:line="259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</w:rPr>
              <w:t>Wymagane minimalne parametry techniczne źródła zasilania:</w:t>
            </w:r>
          </w:p>
        </w:tc>
        <w:tc>
          <w:tcPr>
            <w:tcW w:w="4095" w:type="dxa"/>
            <w:shd w:val="clear" w:color="auto" w:fill="EEECE1"/>
          </w:tcPr>
          <w:p w14:paraId="43954420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6CEED657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0D2FD885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4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920D80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Izolowane galwanicznie uniwersalny symulator sieci 3-fazowej AC i HV DC.</w:t>
            </w:r>
          </w:p>
        </w:tc>
        <w:tc>
          <w:tcPr>
            <w:tcW w:w="4095" w:type="dxa"/>
            <w:shd w:val="clear" w:color="auto" w:fill="EEECE1"/>
          </w:tcPr>
          <w:p w14:paraId="211CE7A1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1106E643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21A1B30E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5EE5D8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Moc wyjściowa min. 250kVA AC/250kW DC.</w:t>
            </w:r>
          </w:p>
        </w:tc>
        <w:tc>
          <w:tcPr>
            <w:tcW w:w="4095" w:type="dxa"/>
            <w:shd w:val="clear" w:color="auto" w:fill="EEECE1"/>
          </w:tcPr>
          <w:p w14:paraId="7AA46D6D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58DE2732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50BC4EF6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2E1D2A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Prąd wyjściowy min. 3x 230A AC @ 360V (L-N)</w:t>
            </w:r>
          </w:p>
        </w:tc>
        <w:tc>
          <w:tcPr>
            <w:tcW w:w="4095" w:type="dxa"/>
            <w:shd w:val="clear" w:color="auto" w:fill="EEECE1"/>
          </w:tcPr>
          <w:p w14:paraId="7B21C060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4D72E3BA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5D92A0F9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365B4E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Prąd wyjściowy min. DC: +/- 1500 V / 330 A. </w:t>
            </w:r>
          </w:p>
        </w:tc>
        <w:tc>
          <w:tcPr>
            <w:tcW w:w="4095" w:type="dxa"/>
            <w:shd w:val="clear" w:color="auto" w:fill="EEECE1"/>
          </w:tcPr>
          <w:p w14:paraId="095999EE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:rsidRPr="00F46588" w14:paraId="2F606CBC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4B972D1D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AA8383" w14:textId="77777777" w:rsidR="005213D6" w:rsidRPr="00103612" w:rsidRDefault="002D187E">
            <w:pPr>
              <w:spacing w:before="240" w:after="0"/>
              <w:rPr>
                <w:sz w:val="20"/>
                <w:szCs w:val="20"/>
                <w:lang w:val="en-US"/>
              </w:rPr>
            </w:pPr>
            <w:r w:rsidRPr="00103612">
              <w:rPr>
                <w:sz w:val="20"/>
                <w:szCs w:val="20"/>
                <w:lang w:val="en-US"/>
              </w:rPr>
              <w:t>Slew rate min. 1250 V/ms.</w:t>
            </w:r>
          </w:p>
        </w:tc>
        <w:tc>
          <w:tcPr>
            <w:tcW w:w="4095" w:type="dxa"/>
            <w:shd w:val="clear" w:color="auto" w:fill="EEECE1"/>
          </w:tcPr>
          <w:p w14:paraId="0583E121" w14:textId="77777777" w:rsidR="005213D6" w:rsidRPr="00103612" w:rsidRDefault="005213D6">
            <w:pPr>
              <w:spacing w:after="0" w:line="240" w:lineRule="auto"/>
              <w:rPr>
                <w:sz w:val="20"/>
                <w:szCs w:val="20"/>
                <w:lang w:val="en-US"/>
              </w:rPr>
            </w:pPr>
          </w:p>
        </w:tc>
      </w:tr>
      <w:tr w:rsidR="005213D6" w14:paraId="05F945DE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2138262E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1D7EA8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Pasmo  wyjściowe min. 0 - 1000 Hz.</w:t>
            </w:r>
          </w:p>
        </w:tc>
        <w:tc>
          <w:tcPr>
            <w:tcW w:w="4095" w:type="dxa"/>
            <w:shd w:val="clear" w:color="auto" w:fill="EEECE1"/>
          </w:tcPr>
          <w:p w14:paraId="409096E2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477E1B83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46FA1BB5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05C23A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Funkcja dwukierunkowości przepływu mocy od obiektu i do obiektu w pełnym zakresie mocy.</w:t>
            </w:r>
          </w:p>
        </w:tc>
        <w:tc>
          <w:tcPr>
            <w:tcW w:w="4095" w:type="dxa"/>
            <w:shd w:val="clear" w:color="auto" w:fill="EEECE1"/>
          </w:tcPr>
          <w:p w14:paraId="6BF8EBE2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3C7351F6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4BF24555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5AB86E" w14:textId="77777777" w:rsidR="005213D6" w:rsidRDefault="002D187E">
            <w:pPr>
              <w:spacing w:before="240" w:after="0" w:line="25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Wymienna zewnętrzna skrzynia przyłączeniowa z okablowaniem.</w:t>
            </w:r>
          </w:p>
        </w:tc>
        <w:tc>
          <w:tcPr>
            <w:tcW w:w="4095" w:type="dxa"/>
            <w:shd w:val="clear" w:color="auto" w:fill="EEECE1"/>
          </w:tcPr>
          <w:p w14:paraId="3B6212AD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3E9E4BA9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2F1C1F6A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EDDF33" w14:textId="77777777" w:rsidR="005213D6" w:rsidRDefault="002D187E">
            <w:pPr>
              <w:spacing w:before="240" w:after="160" w:line="25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Możliwość pracy zdalnej poprzez interfejs LAN, optyczny z wykorzystaniem oprogramowania sterującego.</w:t>
            </w:r>
          </w:p>
        </w:tc>
        <w:tc>
          <w:tcPr>
            <w:tcW w:w="4095" w:type="dxa"/>
            <w:shd w:val="clear" w:color="auto" w:fill="EEECE1"/>
          </w:tcPr>
          <w:p w14:paraId="1498A27D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3A0045AD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59C9595A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75AC10" w14:textId="77777777" w:rsidR="005213D6" w:rsidRDefault="002D187E">
            <w:pPr>
              <w:spacing w:before="240" w:after="160" w:line="25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Możliwość sterowania ręcznego z poziomu panela czołowego generatora.</w:t>
            </w:r>
          </w:p>
        </w:tc>
        <w:tc>
          <w:tcPr>
            <w:tcW w:w="4095" w:type="dxa"/>
            <w:shd w:val="clear" w:color="auto" w:fill="EEECE1"/>
          </w:tcPr>
          <w:p w14:paraId="69569789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366E59C8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377DCEB2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6F5C20" w14:textId="77777777" w:rsidR="005213D6" w:rsidRDefault="002D187E">
            <w:pPr>
              <w:spacing w:before="240" w:after="160" w:line="25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Funkcje bezpieczeństwa i ostrzegające dla pracy z HV, wyłącznik awaryjny.</w:t>
            </w:r>
          </w:p>
        </w:tc>
        <w:tc>
          <w:tcPr>
            <w:tcW w:w="4095" w:type="dxa"/>
            <w:shd w:val="clear" w:color="auto" w:fill="EEECE1"/>
          </w:tcPr>
          <w:p w14:paraId="7B2E332E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1F6647B8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4277210D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3BCFEE" w14:textId="77777777" w:rsidR="005213D6" w:rsidRDefault="002D187E">
            <w:pPr>
              <w:spacing w:before="240" w:after="160" w:line="25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Oprogramowanie sterujące.</w:t>
            </w:r>
          </w:p>
        </w:tc>
        <w:tc>
          <w:tcPr>
            <w:tcW w:w="4095" w:type="dxa"/>
            <w:shd w:val="clear" w:color="auto" w:fill="EEECE1"/>
          </w:tcPr>
          <w:p w14:paraId="64A4BFFD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5CDBD691" w14:textId="77777777">
        <w:trPr>
          <w:trHeight w:val="729"/>
          <w:jc w:val="center"/>
        </w:trPr>
        <w:tc>
          <w:tcPr>
            <w:tcW w:w="4980" w:type="dxa"/>
            <w:gridSpan w:val="2"/>
            <w:vAlign w:val="center"/>
          </w:tcPr>
          <w:p w14:paraId="31DA2C85" w14:textId="77777777" w:rsidR="005213D6" w:rsidRDefault="002D187E">
            <w:pPr>
              <w:spacing w:after="160" w:line="259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</w:rPr>
              <w:t>Wymagania szczegółowe źródła zasilania:</w:t>
            </w:r>
          </w:p>
        </w:tc>
        <w:tc>
          <w:tcPr>
            <w:tcW w:w="4095" w:type="dxa"/>
            <w:shd w:val="clear" w:color="auto" w:fill="EEECE1"/>
          </w:tcPr>
          <w:p w14:paraId="19EAB985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52F5CDDF" w14:textId="77777777">
        <w:trPr>
          <w:trHeight w:val="729"/>
          <w:jc w:val="center"/>
        </w:trPr>
        <w:tc>
          <w:tcPr>
            <w:tcW w:w="96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C35BCE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</w:t>
            </w:r>
          </w:p>
        </w:tc>
        <w:tc>
          <w:tcPr>
            <w:tcW w:w="4020" w:type="dxa"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A5D396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Wartość szczytowa mocy wyjściowej</w:t>
            </w:r>
          </w:p>
          <w:p w14:paraId="69B3151B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min. 250kVA AC/250kW DC</w:t>
            </w:r>
          </w:p>
        </w:tc>
        <w:tc>
          <w:tcPr>
            <w:tcW w:w="4095" w:type="dxa"/>
            <w:shd w:val="clear" w:color="auto" w:fill="EEECE1"/>
          </w:tcPr>
          <w:p w14:paraId="163D9124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60D32414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E7BBE7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2.2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20693A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Wartość mocy dla pracy ciągłej na wyjściu</w:t>
            </w:r>
          </w:p>
          <w:p w14:paraId="6171CDE1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min. 120kVA AC/150kW DC</w:t>
            </w:r>
          </w:p>
        </w:tc>
        <w:tc>
          <w:tcPr>
            <w:tcW w:w="4095" w:type="dxa"/>
            <w:shd w:val="clear" w:color="auto" w:fill="EEECE1"/>
          </w:tcPr>
          <w:p w14:paraId="65F41B96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7B8AB3C2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1C0443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3.1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DC2E86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Wartość szczytowa prądu wyjściowego</w:t>
            </w:r>
          </w:p>
          <w:p w14:paraId="69F17649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3x 230A AC @ 360V (L-N)</w:t>
            </w:r>
          </w:p>
        </w:tc>
        <w:tc>
          <w:tcPr>
            <w:tcW w:w="4095" w:type="dxa"/>
            <w:shd w:val="clear" w:color="auto" w:fill="EEECE1"/>
          </w:tcPr>
          <w:p w14:paraId="6F53C3C8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468C420A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1F0D18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3.2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460FB0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Wartość prądu AC dla pracy ciągłej</w:t>
            </w:r>
          </w:p>
          <w:p w14:paraId="7FD48EBA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min. 100 A na fazę</w:t>
            </w:r>
          </w:p>
        </w:tc>
        <w:tc>
          <w:tcPr>
            <w:tcW w:w="4095" w:type="dxa"/>
            <w:shd w:val="clear" w:color="auto" w:fill="EEECE1"/>
          </w:tcPr>
          <w:p w14:paraId="187473D4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6F0C278B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CE520D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2E7D16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Wartość szczytowa prądu wyjściowego</w:t>
            </w:r>
          </w:p>
          <w:p w14:paraId="75818FF4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min. DC: +/- 1500 V / 330 A </w:t>
            </w:r>
          </w:p>
        </w:tc>
        <w:tc>
          <w:tcPr>
            <w:tcW w:w="4095" w:type="dxa"/>
            <w:shd w:val="clear" w:color="auto" w:fill="EEECE1"/>
          </w:tcPr>
          <w:p w14:paraId="067C711D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2E7604A2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5600AC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4.2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64A605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Wartość prądu DC dla pracy ciągłej</w:t>
            </w:r>
          </w:p>
          <w:p w14:paraId="3641D7FF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min. 100 A na linię</w:t>
            </w:r>
          </w:p>
        </w:tc>
        <w:tc>
          <w:tcPr>
            <w:tcW w:w="4095" w:type="dxa"/>
            <w:shd w:val="clear" w:color="auto" w:fill="EEECE1"/>
          </w:tcPr>
          <w:p w14:paraId="170824BC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3B462D26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9C8782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5.2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0732BD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Dynamika wejścia:</w:t>
            </w:r>
          </w:p>
          <w:p w14:paraId="7F322C16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Oferowane źródło zasilania laboratoryjnego musi charakteryzować się wysoką dynamiką wyjścia, umożliwiającą realizację badań dynamicznych prowadzonych w laboratorium EMC, w szczególności badań wymagających szybkich zmian napięcia w stanach przejściowych.</w:t>
            </w:r>
          </w:p>
          <w:p w14:paraId="42D252DF" w14:textId="1450070D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 ramach tej dynamiki wymagane jest łączne spełnienie następujących parametrów:</w:t>
            </w:r>
          </w:p>
          <w:p w14:paraId="19C21572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-minimalny slew rate nie mniejszy niż 1250 V/ms,</w:t>
            </w:r>
          </w:p>
          <w:p w14:paraId="45BD877D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-czas narastania napięcia (rise time) nie większy niż 50 µs,</w:t>
            </w:r>
          </w:p>
          <w:p w14:paraId="13038E6B" w14:textId="5D2B460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przy czym parametry te mogą być deklarowane dla określonych warunków pracy urządzenia (w szczególności: zakres napięcia, obciążenie, tryb pracy),.</w:t>
            </w:r>
          </w:p>
        </w:tc>
        <w:tc>
          <w:tcPr>
            <w:tcW w:w="4095" w:type="dxa"/>
            <w:shd w:val="clear" w:color="auto" w:fill="EEECE1"/>
          </w:tcPr>
          <w:p w14:paraId="0A7B67B4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426DC8A9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3ECC98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6.1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3BA921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Źródło zasilania laboratoryjnego musi umożliwiać realizację badań emisji zaburzeń harmonicznych prowadzonych w laboratorium LKE (w szczególności w zakresie analizy harmonicznych napięcia i prądu generowanych przez badane urządzenia przyłączanego do sieci publicznej).</w:t>
            </w:r>
          </w:p>
          <w:p w14:paraId="7DD41C85" w14:textId="77777777" w:rsidR="005213D6" w:rsidRDefault="002D187E">
            <w:pPr>
              <w:spacing w:after="0" w:line="240" w:lineRule="auto"/>
              <w:rPr>
                <w:rFonts w:ascii="Roboto" w:eastAsia="Roboto" w:hAnsi="Roboto" w:cs="Roboto"/>
                <w:color w:val="444746"/>
                <w:sz w:val="21"/>
                <w:szCs w:val="21"/>
              </w:rPr>
            </w:pPr>
            <w:r>
              <w:rPr>
                <w:sz w:val="20"/>
                <w:szCs w:val="20"/>
              </w:rPr>
              <w:t>W tym celu wymagane jest zapewnienie możliwości realizacji pomiarów i analiz harmonicznych w ramach stanowisk badawczych funkcjonujących w laboratorium LKE, co najmniej do częstotliwości ok. 2,4 kHz, odpowiadającej zakresowi niezbędnemu do planowanych badań EMC dla częstotliwości podstawowej sieci zasilającej 60 Hz, zgodnie z profilem badań prowadzonych w laboratorium LKE.</w:t>
            </w:r>
          </w:p>
          <w:p w14:paraId="4D5709BC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Wymaganie to nie stanowi rozszerzenia pasma wyjściowego źródła zasilania określonego w pkt 6 ani wymagania pracy źródła z pełną mocą w tym zakresie częstotliwości.</w:t>
            </w:r>
          </w:p>
        </w:tc>
        <w:tc>
          <w:tcPr>
            <w:tcW w:w="4095" w:type="dxa"/>
            <w:shd w:val="clear" w:color="auto" w:fill="EEECE1"/>
          </w:tcPr>
          <w:p w14:paraId="1F1D4F09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5837CF8A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B7E4AC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7.1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CC55D5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Zapewniona w pełnym zakresie mocy funkcja dwukierunkowości przepływu mocy od obiektu i do obiektu.</w:t>
            </w:r>
          </w:p>
        </w:tc>
        <w:tc>
          <w:tcPr>
            <w:tcW w:w="4095" w:type="dxa"/>
            <w:shd w:val="clear" w:color="auto" w:fill="EEECE1"/>
          </w:tcPr>
          <w:p w14:paraId="67057A75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062F6984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21D6B1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7.2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364447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 trybie oddawania energii przez badany obiekt do źródła zasilania (praca dwukierunkowa) źródło musi zapewniać możliwość pracy z odpowiednio niskim udziałem mocy biernej, umożliwiającą realizację badań urządzeń magazynujących i oddających energię w warunkach zbliżonych do rzeczywistych.</w:t>
            </w:r>
          </w:p>
          <w:p w14:paraId="05E63AED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 tym zakresie źródło powinno zapewniać współczynnik mocy cosφ ≥ 0,92 w warunkach nominalnych, zgodnie z dokumentacją techniczną producenta.</w:t>
            </w:r>
          </w:p>
        </w:tc>
        <w:tc>
          <w:tcPr>
            <w:tcW w:w="4095" w:type="dxa"/>
            <w:shd w:val="clear" w:color="auto" w:fill="EEECE1"/>
          </w:tcPr>
          <w:p w14:paraId="6C6F557C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40AEA709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EF9CFB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8.1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663394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Zewnętrzna skrzynia przyłączeniowa musi umożliwiać bezpieczne i bezpośrednie przyłączanie badanych obiektów (EUT) w laboratorium LKE, w typowych zakresach prądów roboczych występujących w badaniach EMC.</w:t>
            </w:r>
          </w:p>
          <w:p w14:paraId="3DD5B245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Skrzynia powinna być przystosowana do obsługi prądów roboczych dla typoszeregu odpowiadających co najmniej zakresom 16 A, 32 A, 63 A oraz 100 A, przy zachowaniu odpowiednich parametrów bezpieczeństwa i kompatybilności z badanymi urządzeniami.</w:t>
            </w:r>
          </w:p>
          <w:p w14:paraId="4A24E47F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Dopuszcza się rozwiązania równoważne, pod warunkiem że zapewniają one funkcjonalnie równoważną możliwość przyłączania EUT w ww. zakresach prądowych, bez konieczności stosowania dodatkowych adapterów lub modyfikacji stanowisk badawczych Zamawiającego.</w:t>
            </w:r>
          </w:p>
        </w:tc>
        <w:tc>
          <w:tcPr>
            <w:tcW w:w="4095" w:type="dxa"/>
            <w:shd w:val="clear" w:color="auto" w:fill="EEECE1"/>
          </w:tcPr>
          <w:p w14:paraId="045EB767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725A30AB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4ADC17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9.1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EA0D56" w14:textId="77777777" w:rsidR="005213D6" w:rsidRDefault="002D187E">
            <w:pPr>
              <w:spacing w:before="240" w:after="160" w:line="25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Interfejsy komunikacyjne:</w:t>
            </w:r>
          </w:p>
          <w:p w14:paraId="770E71CF" w14:textId="77777777" w:rsidR="005213D6" w:rsidRDefault="002D187E">
            <w:pPr>
              <w:spacing w:before="240" w:after="160" w:line="25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Generator musi posiadać interfejsy komunikacyjne: LAN, GPIB IEEE</w:t>
            </w:r>
          </w:p>
        </w:tc>
        <w:tc>
          <w:tcPr>
            <w:tcW w:w="4095" w:type="dxa"/>
            <w:shd w:val="clear" w:color="auto" w:fill="EEECE1"/>
          </w:tcPr>
          <w:p w14:paraId="0030FCAD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67CA7C06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09F654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10.1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3BAD16" w14:textId="77777777" w:rsidR="005213D6" w:rsidRDefault="002D187E">
            <w:pPr>
              <w:spacing w:before="240" w:after="160" w:line="25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Panel sterujący i wyświetlacz:</w:t>
            </w:r>
          </w:p>
          <w:p w14:paraId="326C0427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Panel sterujący źródła zasilania laboratoryjnego musi umożliwiać lokalne sterowanie podstawowymi funkcjami urządzenia, w szczególności:</w:t>
            </w:r>
          </w:p>
          <w:p w14:paraId="74E819DE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 włączanie i wyłączanie źródła zasilania,</w:t>
            </w:r>
          </w:p>
          <w:p w14:paraId="0735415A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 konfigurację parametrów zasilania,</w:t>
            </w:r>
          </w:p>
          <w:p w14:paraId="2118DC29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 konfigurację interfejsów komunikacyjnych,</w:t>
            </w:r>
          </w:p>
          <w:p w14:paraId="51C2C8CA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– uruchamianie oraz nadzorowanie testów, w tym testów długotrwałych,</w:t>
            </w:r>
          </w:p>
          <w:p w14:paraId="389DDA8E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 bezpieczne zatrzymanie pracy urządzenia.</w:t>
            </w:r>
          </w:p>
          <w:p w14:paraId="1AD64604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Funkcje zaawansowane, analityczne oraz dokumentacyjne realizowane są z wykorzystaniem oprogramowania sterującego,</w:t>
            </w:r>
            <w:r>
              <w:rPr>
                <w:rFonts w:ascii="Roboto" w:eastAsia="Roboto" w:hAnsi="Roboto" w:cs="Roboto"/>
                <w:color w:val="444746"/>
                <w:sz w:val="21"/>
                <w:szCs w:val="21"/>
              </w:rPr>
              <w:t xml:space="preserve"> </w:t>
            </w:r>
            <w:r>
              <w:rPr>
                <w:sz w:val="20"/>
                <w:szCs w:val="20"/>
              </w:rPr>
              <w:t>o którym mowa w pkt 12 OPZ.</w:t>
            </w:r>
          </w:p>
        </w:tc>
        <w:tc>
          <w:tcPr>
            <w:tcW w:w="4095" w:type="dxa"/>
            <w:shd w:val="clear" w:color="auto" w:fill="EEECE1"/>
          </w:tcPr>
          <w:p w14:paraId="2948C56C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60D09EFB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04F06F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11.1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88AEA2" w14:textId="77777777" w:rsidR="005213D6" w:rsidRDefault="002D187E">
            <w:pPr>
              <w:spacing w:before="240" w:after="160" w:line="25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Pakiet zabezpieczeń HV:</w:t>
            </w:r>
          </w:p>
          <w:p w14:paraId="5CA074A9" w14:textId="77777777" w:rsidR="005213D6" w:rsidRDefault="002D187E">
            <w:pPr>
              <w:spacing w:before="240" w:after="160" w:line="25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Musi posiadać szereg funkcji bezpieczeństwa (również wymaganych dla modułu źródła jeżeli może pracować samodzielnie): blokada (interlock), osłony uniemożliwiające przypadkowe dotknięcie obwodów HV, krańcowe wyłączniki aktywowane automatycznie przy otworzeniu drzwi i obudowy skrzyni przyłączeniowej, tak aby rozłączać automatycznie obwody wyjściowe napięcia, wyłącznik awaryjny na przewodzie min. 3m.</w:t>
            </w:r>
          </w:p>
        </w:tc>
        <w:tc>
          <w:tcPr>
            <w:tcW w:w="4095" w:type="dxa"/>
            <w:shd w:val="clear" w:color="auto" w:fill="EEECE1"/>
          </w:tcPr>
          <w:p w14:paraId="12A86252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2CB2D039" w14:textId="77777777">
        <w:trPr>
          <w:trHeight w:val="1196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6FF00E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11.2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592000" w14:textId="77777777" w:rsidR="005213D6" w:rsidRDefault="002D187E">
            <w:pPr>
              <w:spacing w:before="240" w:after="160" w:line="256" w:lineRule="auto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</w:rPr>
              <w:t>Musi posiadać wyposażenie zapewniające ochron</w:t>
            </w:r>
            <w:r>
              <w:rPr>
                <w:sz w:val="20"/>
                <w:szCs w:val="20"/>
                <w:highlight w:val="white"/>
              </w:rPr>
              <w:t>ę urządzenia przed zjawiskami burst/surge / ring wave.</w:t>
            </w:r>
          </w:p>
        </w:tc>
        <w:tc>
          <w:tcPr>
            <w:tcW w:w="4095" w:type="dxa"/>
            <w:shd w:val="clear" w:color="auto" w:fill="EEECE1"/>
          </w:tcPr>
          <w:p w14:paraId="612D94D0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132E262A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EADA52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12.1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C65DCB" w14:textId="77777777" w:rsidR="005213D6" w:rsidRDefault="002D187E">
            <w:pPr>
              <w:spacing w:before="240"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Wymagania w zakresie wymogów dla oprogramowania dotyczą wyłącznie badań realizowanych z wykorzystaniem dostarczonego źródła zasilania we współpracy z aparaturą i oprogramowaniem stanowiskowym będącymi na wyposażeniu laboratorium Zamawiającego, wskazanymi w poniże (pod tabelą). Wymagania te nie obejmują wdrożenia, konfiguracji oprogramowania w innych urządzeniach laboratoryjnych niż dostarczone źródło zasilania oraz nie przenoszą na wykonawcę odpowiedzialności za integrację systemową, poprawność wyników badań ani modyfikację oprogramowania lub konfiguracji w aparaturze będącej na wyposażeniu Zamawiającego, jednakże wymagają współpracy oprogramowania (zgodności standardów komunikacji, sposobu przekazywania i sterowania za pomocą komend) w zakresie prowadzonych badań, które wymagają współpracy (w tym wymiany </w:t>
            </w:r>
            <w:r>
              <w:rPr>
                <w:sz w:val="20"/>
                <w:szCs w:val="20"/>
              </w:rPr>
              <w:lastRenderedPageBreak/>
              <w:t>komunikatów/poleceń) źródła z posiadanym wyposażeniem.</w:t>
            </w:r>
          </w:p>
          <w:p w14:paraId="63092510" w14:textId="77777777" w:rsidR="005213D6" w:rsidRDefault="002D187E">
            <w:pPr>
              <w:spacing w:before="240"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Oprogramowanie sterujące źródłem zasilania musi w szczególności (Wykaz aparatury i oprogramowania, o którym mowa poniżej, mieści się w kategoriach infrastruktury wskazanych w pkt 13.1 OPZ):</w:t>
            </w:r>
          </w:p>
          <w:p w14:paraId="70DFBB5D" w14:textId="77777777" w:rsidR="005213D6" w:rsidRDefault="002D187E">
            <w:pPr>
              <w:numPr>
                <w:ilvl w:val="0"/>
                <w:numId w:val="3"/>
              </w:num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posiadać bibliotekę nastaw testów, obejmującą normy i wymagania niezbędne do realizacji badań EMC prowadzonych z wykorzystaniem dostarczonego źródła zasilania, w tym normy wskazane w OPZ;</w:t>
            </w:r>
          </w:p>
          <w:p w14:paraId="5223D5D8" w14:textId="77777777" w:rsidR="005213D6" w:rsidRDefault="002D187E">
            <w:pPr>
              <w:numPr>
                <w:ilvl w:val="0"/>
                <w:numId w:val="3"/>
              </w:num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 wybraniu normy z biblioteki nastaw testów umożliwiać wskazanie wykazu testów do przeprowadzenia, w zależności od rodzaju badanego przyłącza, w zakresie obsługiwanym przez źródło zasilania;</w:t>
            </w:r>
          </w:p>
          <w:p w14:paraId="43CFB16F" w14:textId="77777777" w:rsidR="005213D6" w:rsidRDefault="002D187E">
            <w:pPr>
              <w:numPr>
                <w:ilvl w:val="0"/>
                <w:numId w:val="3"/>
              </w:num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umożliwiać zmianę parametrów normatywnych testu oraz zapisywanie wprowadzonych zmian pod własną nazwą użytkownika,</w:t>
            </w:r>
          </w:p>
          <w:p w14:paraId="11D6D3BB" w14:textId="77777777" w:rsidR="005213D6" w:rsidRDefault="002D187E">
            <w:pPr>
              <w:numPr>
                <w:ilvl w:val="0"/>
                <w:numId w:val="3"/>
              </w:numPr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umożliwiać tworzenie i zapisywanie własnych procedur badawczych, składających się z pojedynczych testów realizowanych przez źródło zasilania oraz instrukcji dla badającego;</w:t>
            </w:r>
          </w:p>
          <w:p w14:paraId="79856FB1" w14:textId="77777777" w:rsidR="005213D6" w:rsidRDefault="002D187E">
            <w:pPr>
              <w:numPr>
                <w:ilvl w:val="0"/>
                <w:numId w:val="3"/>
              </w:numPr>
              <w:spacing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umożliwiać tworzenie raportów z badań realizowanych z wykorzystaniem źródła zasilania w formacie RTF, przy czym raport musi posiadać możliwość indywidualnej konfiguracji przez użytkownika.</w:t>
            </w:r>
          </w:p>
        </w:tc>
        <w:tc>
          <w:tcPr>
            <w:tcW w:w="4095" w:type="dxa"/>
            <w:shd w:val="clear" w:color="auto" w:fill="EEECE1"/>
          </w:tcPr>
          <w:p w14:paraId="0F1AD370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4C89709E" w14:textId="77777777">
        <w:trPr>
          <w:trHeight w:val="729"/>
          <w:jc w:val="center"/>
        </w:trPr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7ACEC1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13 </w:t>
            </w:r>
          </w:p>
        </w:tc>
        <w:tc>
          <w:tcPr>
            <w:tcW w:w="402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5AB67A" w14:textId="77777777" w:rsidR="005213D6" w:rsidRDefault="002D187E">
            <w:pPr>
              <w:spacing w:before="240" w:after="160" w:line="256" w:lineRule="auto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Integracja z istniejącą infrastrukturą pomiarowo-badawczą Zamawiającego obejmuje zapewnienie zgodności parametrów elektrycznych, interfejsów przyłączeniowych oraz zdolności do bezpiecznej współpracy urządzeń, bez ingerencji w konfigurację infrastruktury Zamawiającego, procedury akredytowane ani odpowiedzialności za wyniki pomiarów.</w:t>
            </w:r>
          </w:p>
        </w:tc>
        <w:tc>
          <w:tcPr>
            <w:tcW w:w="4095" w:type="dxa"/>
            <w:shd w:val="clear" w:color="auto" w:fill="EEECE1"/>
          </w:tcPr>
          <w:p w14:paraId="3917439B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38A7DA20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B23909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13.1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42EDBB" w14:textId="77777777" w:rsidR="005213D6" w:rsidRDefault="002D18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 wyposażeniu laboratorium LKE znajdują się obciążenia i urządzenia współpracujące ze źródłem zasilania laboratoryjnego, w szczególności:</w:t>
            </w:r>
          </w:p>
          <w:p w14:paraId="39A6E225" w14:textId="77777777" w:rsidR="005213D6" w:rsidRDefault="002D18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 filtry dla komory SAC,</w:t>
            </w:r>
          </w:p>
          <w:p w14:paraId="523E7CA9" w14:textId="77777777" w:rsidR="005213D6" w:rsidRDefault="002D18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 sieci sprzęgające do badań odporności na zaburzenia SURGE, EFT/Burst, sinusoidalnie tłumione oraz oscylacyjnie gasnące,</w:t>
            </w:r>
          </w:p>
          <w:p w14:paraId="42413A5C" w14:textId="77777777" w:rsidR="005213D6" w:rsidRDefault="002D18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 impedancja do badań emisji wahań i migotania napięcia (Flicker),</w:t>
            </w:r>
          </w:p>
          <w:p w14:paraId="5B68A287" w14:textId="77777777" w:rsidR="005213D6" w:rsidRDefault="002D18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 analizator harmonicznych prądów zasilających,</w:t>
            </w:r>
          </w:p>
          <w:p w14:paraId="582FFD58" w14:textId="77777777" w:rsidR="005213D6" w:rsidRDefault="002D18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 oprogramowanie dokumentująco-sterujące wykorzystywane w laboratorium LKE.</w:t>
            </w:r>
          </w:p>
          <w:p w14:paraId="4416ECD0" w14:textId="77777777" w:rsidR="005213D6" w:rsidRDefault="002D18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Wymagane jest, aby oferowane źródło zasilania laboratoryjnego było przystosowane do bezpiecznej pracy z ww. obciążeniami, w szczególności poprzez zapewnienie zgodności parametrów elektrycznych, interfejsów przyłączeniowych oraz dostarczenie niezbędnych przejściówek, adapterów i elementów zabezpieczających.</w:t>
            </w:r>
          </w:p>
          <w:p w14:paraId="3E87CB38" w14:textId="77777777" w:rsidR="005213D6" w:rsidRDefault="002D18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 ramach dostawy wymagane jest zapewnienie ochrony wyjść źródła zasilania przed resztkowym napięciem zaburzeń generowanych przez symulatory narażeń będące na wyposażeniu Zamawiającego, w celu zapobieżenia uszkodzeniu nowo dostarczanego źródła.</w:t>
            </w:r>
          </w:p>
          <w:p w14:paraId="7A8BED25" w14:textId="77777777" w:rsidR="005213D6" w:rsidRDefault="002D18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Integracja, o której mowa powyżej, ogranicza się do zapewnienia zdolności bezpiecznej współpracy źródła zasilania z istniejącą infrastrukturą laboratoryjną i nie obejmuje modernizacji infrastruktury Zamawiającego, modyfikacji konfiguracji urządzeń będących na jego wyposażeniu, zmian procedur akredytowanych ani odpowiedzialności za wyniki badań.</w:t>
            </w:r>
          </w:p>
          <w:p w14:paraId="6515A16B" w14:textId="77777777" w:rsidR="005213D6" w:rsidRDefault="002D18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W zakresie oprogramowania dokumentująco-sterującego wymagane jest zapewnienie, w ramach dostawy, kompatybilności nowo dostarczanego źródła zasilania z istniejącym środowiskiem sterująco-dokumentującym Zamawiającego, wyłącznie w zakresie niezbędnym do jego uruchomienia i eksploatacji. Aktualizacja lub dostawa oprogramowania może dotyczyć jedynie komponentów bezpośrednio związanych z obsługą dostarczanego źródła zasilania i nie obejmuje unifikacji procedur badawczych ani integracji pozostałych urządzeń laboratoryjnych.</w:t>
            </w:r>
          </w:p>
        </w:tc>
        <w:tc>
          <w:tcPr>
            <w:tcW w:w="4095" w:type="dxa"/>
            <w:shd w:val="clear" w:color="auto" w:fill="EEECE1"/>
          </w:tcPr>
          <w:p w14:paraId="09DE852E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79F2E5B7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67E21B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14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59EF8A" w14:textId="77777777" w:rsidR="005213D6" w:rsidRDefault="002D187E">
            <w:pPr>
              <w:spacing w:before="240" w:after="160" w:line="256" w:lineRule="auto"/>
            </w:pPr>
            <w:r>
              <w:rPr>
                <w:sz w:val="20"/>
                <w:szCs w:val="20"/>
              </w:rPr>
              <w:t>Zestaw akcesoriów do integracji z infrastrukturą.</w:t>
            </w:r>
          </w:p>
        </w:tc>
        <w:tc>
          <w:tcPr>
            <w:tcW w:w="4095" w:type="dxa"/>
            <w:shd w:val="clear" w:color="auto" w:fill="EEECE1"/>
          </w:tcPr>
          <w:p w14:paraId="7B4750C7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40439FE6" w14:textId="77777777">
        <w:trPr>
          <w:trHeight w:val="729"/>
          <w:jc w:val="center"/>
        </w:trPr>
        <w:tc>
          <w:tcPr>
            <w:tcW w:w="9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638E65" w14:textId="77777777" w:rsidR="005213D6" w:rsidRDefault="002D187E">
            <w:pPr>
              <w:spacing w:before="240"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14.1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5AAEB4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 ramach dostawy wymagany jest zestaw akcesoriów niezbędnych do bezpiecznego podłączenia i eksploatacji nowo dostarczanego źródła zasilania laboratoryjnego w istniejącej infrastrukturze laboratoryjnej Zamawiającego, wynikający z obsługi wyższych napięć i prądów oraz dwukierunkowego charakteru pracy źródła.</w:t>
            </w:r>
          </w:p>
          <w:p w14:paraId="05ED0C88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Zestaw akcesoriów obejmuje w szczególności:</w:t>
            </w:r>
          </w:p>
          <w:p w14:paraId="7206686A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 elastyczne przewody wysokoprądowe i wysokonapięciowe z bezpiecznymi wtykami, o parametrach dostosowanych do maksymalnych napięć i prądów źródła oraz warunków pracy w laboratorium, w tym o długości minimalnej 5 m;</w:t>
            </w:r>
          </w:p>
          <w:p w14:paraId="7AE08E62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 sieć odsprzęgającą lub rozwiązanie równoważne, którego celem jest zabezpieczenie wyjść nowo dostarczanego źródła zasilania przed napięciem resztkowym oraz stanami nieustalonymi mogącymi wystąpić podczas badań z wykorzystaniem generatorów narażeń będących na wyposażeniu Zamawiającego.</w:t>
            </w:r>
          </w:p>
          <w:p w14:paraId="13C34AC1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Zastosowanie sieci odsprzęgającej lub rozwiązania równoważnego służy wyłącznie ochronie nowo dostarczanego źródła zasilania i nie obejmuje rozbudowy, modernizacji ani modyfikacji generatorów udarowych lub innych elementów infrastruktury Zamawiającego.</w:t>
            </w:r>
          </w:p>
          <w:p w14:paraId="4617790C" w14:textId="77777777" w:rsidR="005213D6" w:rsidRDefault="002D187E">
            <w:pPr>
              <w:spacing w:after="0" w:line="240" w:lineRule="auto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Integracja z oprogramowaniem dokumentująco-sterującym Zamawiającego może być wymagana wyłącznie w zakresie niezbędnym do zapewnienia komunikacji, sterowania i dokumentowania pracy nowo dostarczanego źródła zasilania. W przypadku, gdy dla uruchomienia pracy źródła niezbędna jest aktualizacja oprogramowania w tym zakresie, obowiązkiem wykonawcy jest doprowadzenie do prawidłowej pracy źródła oraz zachowanie funkcjonalności środowiska Zamawiającego w zakresie nie gorszym niż przed dostawą. Wymóg ten nie obejmuje modernizacji infrastruktury pomiarowo-badawczej Zamawiającego ani dostosowywania jej do nowych lub zmienionych wymagań normatywnych.</w:t>
            </w:r>
          </w:p>
        </w:tc>
        <w:tc>
          <w:tcPr>
            <w:tcW w:w="4095" w:type="dxa"/>
            <w:shd w:val="clear" w:color="auto" w:fill="EEECE1"/>
          </w:tcPr>
          <w:p w14:paraId="0D8B9E46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3262068A" w14:textId="77777777">
        <w:trPr>
          <w:trHeight w:val="729"/>
          <w:jc w:val="center"/>
        </w:trPr>
        <w:tc>
          <w:tcPr>
            <w:tcW w:w="4980" w:type="dxa"/>
            <w:gridSpan w:val="2"/>
            <w:vAlign w:val="center"/>
          </w:tcPr>
          <w:p w14:paraId="7D5A046E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Inne wymagania:</w:t>
            </w:r>
          </w:p>
        </w:tc>
        <w:tc>
          <w:tcPr>
            <w:tcW w:w="4095" w:type="dxa"/>
            <w:shd w:val="clear" w:color="auto" w:fill="EEECE1"/>
          </w:tcPr>
          <w:p w14:paraId="0168F3EA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6C43DA99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75A1AE41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4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A6DBF3" w14:textId="501C04C5" w:rsidR="005213D6" w:rsidRDefault="002D187E">
            <w:pPr>
              <w:spacing w:before="240" w:after="160" w:line="25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Wymagane jest akredytowane świadectwo wzorcowania identyfikowalne wg ISO 17025</w:t>
            </w:r>
            <w:r w:rsidR="00EB1E5A">
              <w:rPr>
                <w:sz w:val="20"/>
                <w:szCs w:val="20"/>
              </w:rPr>
              <w:t xml:space="preserve"> </w:t>
            </w:r>
            <w:r w:rsidR="00EB1E5A" w:rsidRPr="00EB1E5A">
              <w:rPr>
                <w:sz w:val="20"/>
                <w:szCs w:val="20"/>
              </w:rPr>
              <w:t>lub równoważne</w:t>
            </w:r>
            <w:r>
              <w:rPr>
                <w:sz w:val="20"/>
                <w:szCs w:val="20"/>
              </w:rPr>
              <w:t xml:space="preserve"> zawierające budżet niepewności i spójność pomiarową z odniesieniem do wzorca dla generatora oraz akcesoriów.</w:t>
            </w:r>
          </w:p>
        </w:tc>
        <w:tc>
          <w:tcPr>
            <w:tcW w:w="4095" w:type="dxa"/>
            <w:shd w:val="clear" w:color="auto" w:fill="EEECE1"/>
          </w:tcPr>
          <w:p w14:paraId="5A50E3E6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395E7BB5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02261CF1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30F8AF" w14:textId="77777777" w:rsidR="005213D6" w:rsidRDefault="002D187E">
            <w:pPr>
              <w:spacing w:before="240" w:after="160" w:line="25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Dostarczony system musi posiadać europejskie oznakowanie CE lub równoważne, a także zasilanie zgodne z standardem EU tj. 230V(L-N, PE) 50Hz lub 400V (3xL, PE) 50Hz.</w:t>
            </w:r>
          </w:p>
        </w:tc>
        <w:tc>
          <w:tcPr>
            <w:tcW w:w="4095" w:type="dxa"/>
            <w:shd w:val="clear" w:color="auto" w:fill="EEECE1"/>
          </w:tcPr>
          <w:p w14:paraId="70C10EB7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5E90D27A" w14:textId="77777777">
        <w:trPr>
          <w:trHeight w:val="729"/>
          <w:jc w:val="center"/>
        </w:trPr>
        <w:tc>
          <w:tcPr>
            <w:tcW w:w="960" w:type="dxa"/>
            <w:vAlign w:val="center"/>
          </w:tcPr>
          <w:p w14:paraId="78BC9568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BCC1FF" w14:textId="77777777" w:rsidR="005213D6" w:rsidRDefault="002D187E">
            <w:pPr>
              <w:spacing w:before="240" w:after="160" w:line="25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Dokumentacja zawierająca min. instrukcje obsługi w języku angielskim lub polskim, instrukcje sterowania zdalnego w języku angielskim lub polskim, instrukcje bezpiecznego uruchomienia w języku polskim, schemat połączeń dostarczonego systemu, deklaracje zgodności UE, licencje.</w:t>
            </w:r>
          </w:p>
        </w:tc>
        <w:tc>
          <w:tcPr>
            <w:tcW w:w="4095" w:type="dxa"/>
            <w:shd w:val="clear" w:color="auto" w:fill="EEECE1"/>
          </w:tcPr>
          <w:p w14:paraId="656B405B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25343AB1" w14:textId="77777777">
        <w:trPr>
          <w:trHeight w:val="707"/>
          <w:jc w:val="center"/>
        </w:trPr>
        <w:tc>
          <w:tcPr>
            <w:tcW w:w="960" w:type="dxa"/>
            <w:vAlign w:val="center"/>
          </w:tcPr>
          <w:p w14:paraId="74E76FFA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BFCBF8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Gwarancja: min. 24 miesiące od daty podpisania protokołu odbioru.</w:t>
            </w:r>
          </w:p>
        </w:tc>
        <w:tc>
          <w:tcPr>
            <w:tcW w:w="4095" w:type="dxa"/>
            <w:shd w:val="clear" w:color="auto" w:fill="EEECE1"/>
          </w:tcPr>
          <w:p w14:paraId="7200D690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473F9153" w14:textId="77777777">
        <w:trPr>
          <w:trHeight w:val="690"/>
          <w:jc w:val="center"/>
        </w:trPr>
        <w:tc>
          <w:tcPr>
            <w:tcW w:w="960" w:type="dxa"/>
            <w:vAlign w:val="center"/>
          </w:tcPr>
          <w:p w14:paraId="5FBC4CD3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DC2127" w14:textId="77777777" w:rsidR="005213D6" w:rsidRDefault="002D187E">
            <w:pPr>
              <w:spacing w:before="24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Urządzenie fabrycznie nowe</w:t>
            </w:r>
          </w:p>
        </w:tc>
        <w:tc>
          <w:tcPr>
            <w:tcW w:w="4095" w:type="dxa"/>
            <w:shd w:val="clear" w:color="auto" w:fill="EEECE1"/>
          </w:tcPr>
          <w:p w14:paraId="78F0C196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33BEA2CD" w14:textId="77777777">
        <w:trPr>
          <w:jc w:val="center"/>
        </w:trPr>
        <w:tc>
          <w:tcPr>
            <w:tcW w:w="960" w:type="dxa"/>
            <w:vAlign w:val="center"/>
          </w:tcPr>
          <w:p w14:paraId="6CB7047A" w14:textId="77777777" w:rsidR="005213D6" w:rsidRDefault="002D187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4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33A8AB" w14:textId="77777777" w:rsidR="005213D6" w:rsidRDefault="002D187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Termin dostawy: do max 6 m-cy od dnia podpisania umowy. Nie później niż do 11 września 2026r.</w:t>
            </w:r>
          </w:p>
        </w:tc>
        <w:tc>
          <w:tcPr>
            <w:tcW w:w="4095" w:type="dxa"/>
            <w:shd w:val="clear" w:color="auto" w:fill="EEECE1"/>
          </w:tcPr>
          <w:p w14:paraId="0CDA74C7" w14:textId="77777777" w:rsidR="005213D6" w:rsidRDefault="005213D6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5213D6" w14:paraId="654B7E15" w14:textId="77777777">
        <w:trPr>
          <w:trHeight w:val="889"/>
          <w:jc w:val="center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786844" w14:textId="77777777" w:rsidR="005213D6" w:rsidRDefault="005213D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1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2D44D1B8" w14:textId="77777777" w:rsidR="005213D6" w:rsidRDefault="002D187E">
            <w:pPr>
              <w:spacing w:before="240"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Nazwa, model, producent oferowanego urządzenia </w:t>
            </w:r>
          </w:p>
          <w:p w14:paraId="442E5197" w14:textId="77777777" w:rsidR="005213D6" w:rsidRDefault="005213D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14:paraId="3FFCEE37" w14:textId="77777777" w:rsidR="005213D6" w:rsidRDefault="005213D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</w:tbl>
    <w:p w14:paraId="1C30DE1F" w14:textId="77777777" w:rsidR="005213D6" w:rsidRDefault="005213D6">
      <w:pPr>
        <w:spacing w:after="0"/>
        <w:rPr>
          <w:b/>
          <w:bCs/>
          <w:sz w:val="20"/>
          <w:szCs w:val="20"/>
        </w:rPr>
      </w:pPr>
    </w:p>
    <w:p w14:paraId="19C613B8" w14:textId="77777777" w:rsidR="005213D6" w:rsidRDefault="005213D6">
      <w:pPr>
        <w:spacing w:after="0"/>
        <w:rPr>
          <w:b/>
          <w:bCs/>
          <w:sz w:val="20"/>
          <w:szCs w:val="20"/>
        </w:rPr>
      </w:pPr>
    </w:p>
    <w:p w14:paraId="5EEF461F" w14:textId="77777777" w:rsidR="005213D6" w:rsidRDefault="002D187E">
      <w:pPr>
        <w:spacing w:after="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Posiadane w LKE akcesoria pomiarowe, które należy uwzględnić przygotowując integrację z istniejącą infrastrukturą: </w:t>
      </w:r>
    </w:p>
    <w:p w14:paraId="1C61E9A8" w14:textId="77777777" w:rsidR="005213D6" w:rsidRDefault="002D187E">
      <w:pPr>
        <w:numPr>
          <w:ilvl w:val="0"/>
          <w:numId w:val="1"/>
        </w:numPr>
        <w:spacing w:after="0"/>
        <w:rPr>
          <w:sz w:val="20"/>
          <w:szCs w:val="20"/>
        </w:rPr>
      </w:pPr>
      <w:r>
        <w:rPr>
          <w:sz w:val="20"/>
          <w:szCs w:val="20"/>
        </w:rPr>
        <w:t>DPA 503N – analizator flickerów i harmonicznych</w:t>
      </w:r>
    </w:p>
    <w:p w14:paraId="734D9610" w14:textId="77777777" w:rsidR="005213D6" w:rsidRDefault="002D187E">
      <w:pPr>
        <w:numPr>
          <w:ilvl w:val="0"/>
          <w:numId w:val="1"/>
        </w:numPr>
        <w:spacing w:after="0"/>
        <w:rPr>
          <w:sz w:val="20"/>
          <w:szCs w:val="20"/>
        </w:rPr>
      </w:pPr>
      <w:r>
        <w:rPr>
          <w:sz w:val="20"/>
          <w:szCs w:val="20"/>
        </w:rPr>
        <w:t>AIF 503S4 – impedancja flickerów zgodna z IEC TR 60725 ZTEST, i ZREF dla prądów od 0-75A w układzie zasilania trójfazowymi 50Hz/60Hz i jednofazowym 50Hz/60Hz</w:t>
      </w:r>
    </w:p>
    <w:p w14:paraId="0282E152" w14:textId="77777777" w:rsidR="005213D6" w:rsidRDefault="002D187E">
      <w:pPr>
        <w:numPr>
          <w:ilvl w:val="0"/>
          <w:numId w:val="1"/>
        </w:numPr>
        <w:spacing w:after="0"/>
        <w:rPr>
          <w:sz w:val="20"/>
          <w:szCs w:val="20"/>
        </w:rPr>
      </w:pPr>
      <w:r>
        <w:rPr>
          <w:sz w:val="20"/>
          <w:szCs w:val="20"/>
        </w:rPr>
        <w:t>ACS 503S4 – Zasilacz stabilizowany AC 50/60Hz o mocy 90kVA</w:t>
      </w:r>
    </w:p>
    <w:p w14:paraId="720AC3DA" w14:textId="77777777" w:rsidR="005213D6" w:rsidRPr="00103612" w:rsidRDefault="002D187E">
      <w:pPr>
        <w:numPr>
          <w:ilvl w:val="0"/>
          <w:numId w:val="1"/>
        </w:numPr>
        <w:spacing w:after="0"/>
        <w:rPr>
          <w:sz w:val="20"/>
          <w:szCs w:val="20"/>
          <w:lang w:val="en-US"/>
        </w:rPr>
      </w:pPr>
      <w:r w:rsidRPr="00103612">
        <w:rPr>
          <w:sz w:val="20"/>
          <w:szCs w:val="20"/>
          <w:lang w:val="en-US"/>
        </w:rPr>
        <w:t>ETS Lingrenr  typ N9009 - Filtr komory SAC AC 200A (250V/440V, 4 linie)</w:t>
      </w:r>
    </w:p>
    <w:p w14:paraId="220883D3" w14:textId="77777777" w:rsidR="005213D6" w:rsidRDefault="002D187E">
      <w:pPr>
        <w:numPr>
          <w:ilvl w:val="0"/>
          <w:numId w:val="1"/>
        </w:numPr>
        <w:spacing w:after="0"/>
        <w:rPr>
          <w:sz w:val="20"/>
          <w:szCs w:val="20"/>
        </w:rPr>
      </w:pPr>
      <w:r>
        <w:rPr>
          <w:sz w:val="20"/>
          <w:szCs w:val="20"/>
        </w:rPr>
        <w:t>Frankonia, typ PF282A-100/3000VAC/3500DC – Filtr komory SAC DC (model w typoszeregu PF2x100A-3000VAC/3500DC, 2 x 100A, 3000VAC, 3500 VDC, 80dB od 100kHz)</w:t>
      </w:r>
    </w:p>
    <w:p w14:paraId="3BB60959" w14:textId="77777777" w:rsidR="005213D6" w:rsidRDefault="002D187E">
      <w:pPr>
        <w:numPr>
          <w:ilvl w:val="0"/>
          <w:numId w:val="1"/>
        </w:numPr>
        <w:spacing w:after="0"/>
        <w:rPr>
          <w:sz w:val="20"/>
          <w:szCs w:val="20"/>
        </w:rPr>
      </w:pPr>
      <w:r>
        <w:rPr>
          <w:sz w:val="20"/>
          <w:szCs w:val="20"/>
        </w:rPr>
        <w:t>OCS 500N6.8 – generator impulsowy SDOW zgodny z IEC/PN-EN 61000-4-18 i RWG zgodny z IEC/PN EN 61000-4-12 z bezpiecznymi gniazdami laboratoryjnymi 4mm</w:t>
      </w:r>
    </w:p>
    <w:p w14:paraId="5191710D" w14:textId="77777777" w:rsidR="005213D6" w:rsidRDefault="002D187E">
      <w:pPr>
        <w:numPr>
          <w:ilvl w:val="0"/>
          <w:numId w:val="1"/>
        </w:numPr>
        <w:spacing w:after="0"/>
        <w:rPr>
          <w:sz w:val="20"/>
          <w:szCs w:val="20"/>
        </w:rPr>
      </w:pPr>
      <w:r>
        <w:rPr>
          <w:sz w:val="20"/>
          <w:szCs w:val="20"/>
        </w:rPr>
        <w:t>UCS 500M6B - generator impulsowy BURST 4kV, SURGE 4kV z bezpiecznymi gniazdami laboratoryjnymi 4mm dla SURGE i z złączem Fisher F103(f) dla BURST</w:t>
      </w:r>
    </w:p>
    <w:p w14:paraId="53AAD1C5" w14:textId="77777777" w:rsidR="005213D6" w:rsidRDefault="002D187E">
      <w:pPr>
        <w:numPr>
          <w:ilvl w:val="0"/>
          <w:numId w:val="1"/>
        </w:numPr>
        <w:spacing w:after="0"/>
        <w:rPr>
          <w:sz w:val="20"/>
          <w:szCs w:val="20"/>
        </w:rPr>
      </w:pPr>
      <w:r>
        <w:rPr>
          <w:sz w:val="20"/>
          <w:szCs w:val="20"/>
        </w:rPr>
        <w:lastRenderedPageBreak/>
        <w:t>CNI 503B5D – sieć sprzęgająco-odsprzęgająca BURST 4kV, SURGE 4kV z bezpiecznymi gniazdami laboratoryjnymi 4mm dla SURGE i z złączem Fisher F103(f) dla BURST</w:t>
      </w:r>
    </w:p>
    <w:p w14:paraId="5B3E486F" w14:textId="77777777" w:rsidR="005213D6" w:rsidRDefault="002D187E">
      <w:pPr>
        <w:numPr>
          <w:ilvl w:val="0"/>
          <w:numId w:val="1"/>
        </w:numPr>
        <w:spacing w:after="0"/>
        <w:rPr>
          <w:sz w:val="20"/>
          <w:szCs w:val="20"/>
        </w:rPr>
      </w:pPr>
      <w:r>
        <w:rPr>
          <w:sz w:val="20"/>
          <w:szCs w:val="20"/>
        </w:rPr>
        <w:t>Pakiet oprogramowania dokumentujaco-sterujacego dpa.control V5.1</w:t>
      </w:r>
    </w:p>
    <w:p w14:paraId="7F6DAA4E" w14:textId="77777777" w:rsidR="005213D6" w:rsidRDefault="002D187E">
      <w:pPr>
        <w:numPr>
          <w:ilvl w:val="0"/>
          <w:numId w:val="1"/>
        </w:numPr>
        <w:spacing w:after="0"/>
        <w:rPr>
          <w:sz w:val="20"/>
          <w:szCs w:val="20"/>
        </w:rPr>
      </w:pPr>
      <w:r>
        <w:rPr>
          <w:sz w:val="20"/>
          <w:szCs w:val="20"/>
        </w:rPr>
        <w:t>Pakiet oprogramowania dokumentujaco-sterujacego iec.control V5.1</w:t>
      </w:r>
    </w:p>
    <w:p w14:paraId="2D2B6654" w14:textId="77777777" w:rsidR="005213D6" w:rsidRDefault="002D187E">
      <w:pPr>
        <w:numPr>
          <w:ilvl w:val="0"/>
          <w:numId w:val="1"/>
        </w:numPr>
        <w:spacing w:after="0"/>
        <w:rPr>
          <w:sz w:val="20"/>
          <w:szCs w:val="20"/>
        </w:rPr>
      </w:pPr>
      <w:r>
        <w:rPr>
          <w:sz w:val="20"/>
          <w:szCs w:val="20"/>
        </w:rPr>
        <w:t>Pakiet oprogramowania dokumentujaco-sterujacego net.control V5.1</w:t>
      </w:r>
    </w:p>
    <w:p w14:paraId="75015EE2" w14:textId="77777777" w:rsidR="005213D6" w:rsidRDefault="005213D6">
      <w:pPr>
        <w:spacing w:after="0"/>
        <w:rPr>
          <w:b/>
          <w:bCs/>
          <w:sz w:val="20"/>
          <w:szCs w:val="20"/>
        </w:rPr>
      </w:pPr>
    </w:p>
    <w:p w14:paraId="50A1F10C" w14:textId="77777777" w:rsidR="005213D6" w:rsidRDefault="002D187E">
      <w:pPr>
        <w:spacing w:before="240" w:after="0" w:line="240" w:lineRule="auto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UWAGA: Podane w tabeli wymagania należy traktować jako minimalne. Dopuszcza się składanie ofert na urządzenia lepsze, a przynajmniej równoważne pod każdym względem. Wykonawca powinien określić  w opisie przedmiotu zamówienia – producenta urządzenia oraz nazwę oferowanego produktu i ewentualne inne cechy konieczne do jego jednoznacznego zidentyfikowania oraz wykazać, że oferowane przez niego urządzenia spełniają wymagania określone przez Zamawiającego poprzez dokładne opisanie oferowanych urządzeń w kolumnie oferowane parametry.</w:t>
      </w:r>
    </w:p>
    <w:p w14:paraId="6FA93764" w14:textId="77777777" w:rsidR="005213D6" w:rsidRDefault="005213D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8"/>
          <w:szCs w:val="8"/>
        </w:rPr>
      </w:pPr>
    </w:p>
    <w:p w14:paraId="49BEF5F5" w14:textId="77777777" w:rsidR="005213D6" w:rsidRDefault="005213D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8"/>
          <w:szCs w:val="8"/>
        </w:rPr>
      </w:pPr>
    </w:p>
    <w:p w14:paraId="3DEE90F2" w14:textId="77777777" w:rsidR="005213D6" w:rsidRDefault="005213D6">
      <w:pPr>
        <w:spacing w:after="0"/>
        <w:ind w:left="284"/>
        <w:rPr>
          <w:b/>
          <w:bCs/>
          <w:sz w:val="20"/>
          <w:szCs w:val="20"/>
        </w:rPr>
      </w:pPr>
    </w:p>
    <w:p w14:paraId="043B5EB2" w14:textId="77777777" w:rsidR="005213D6" w:rsidRDefault="002D187E">
      <w:pPr>
        <w:numPr>
          <w:ilvl w:val="0"/>
          <w:numId w:val="4"/>
        </w:numPr>
        <w:spacing w:after="0"/>
        <w:ind w:left="284" w:hanging="709"/>
        <w:rPr>
          <w:sz w:val="16"/>
          <w:szCs w:val="16"/>
        </w:rPr>
      </w:pPr>
      <w:bookmarkStart w:id="2" w:name="_heading=h.1fob9te" w:colFirst="0" w:colLast="0"/>
      <w:bookmarkEnd w:id="2"/>
      <w:r>
        <w:rPr>
          <w:b/>
          <w:bCs/>
          <w:sz w:val="20"/>
          <w:szCs w:val="20"/>
        </w:rPr>
        <w:t>Ilość: 1 sztuka</w:t>
      </w:r>
    </w:p>
    <w:p w14:paraId="74AC90C7" w14:textId="77777777" w:rsidR="005213D6" w:rsidRDefault="005213D6">
      <w:pPr>
        <w:spacing w:after="0"/>
        <w:ind w:left="284"/>
        <w:rPr>
          <w:b/>
          <w:bCs/>
          <w:sz w:val="8"/>
          <w:szCs w:val="8"/>
        </w:rPr>
      </w:pPr>
    </w:p>
    <w:p w14:paraId="1B3B1263" w14:textId="77777777" w:rsidR="005213D6" w:rsidRDefault="002D187E">
      <w:pPr>
        <w:numPr>
          <w:ilvl w:val="0"/>
          <w:numId w:val="4"/>
        </w:numPr>
        <w:spacing w:after="0"/>
        <w:ind w:left="284" w:hanging="709"/>
        <w:jc w:val="both"/>
        <w:rPr>
          <w:sz w:val="16"/>
          <w:szCs w:val="16"/>
        </w:rPr>
      </w:pPr>
      <w:r>
        <w:rPr>
          <w:b/>
          <w:bCs/>
          <w:sz w:val="20"/>
          <w:szCs w:val="20"/>
        </w:rPr>
        <w:t xml:space="preserve">Miejsce dostawy: </w:t>
      </w:r>
      <w:r>
        <w:rPr>
          <w:sz w:val="20"/>
          <w:szCs w:val="20"/>
        </w:rPr>
        <w:t>Politechnika Wrocławska, Wydział Informatyki i Telekomunikacji, Laboratorium Kompatybilności Elektromagnetycznej, ul. Janiszewskiego 11 A, 50-372 Wrocław, budynek C15.</w:t>
      </w:r>
    </w:p>
    <w:p w14:paraId="443D2F9D" w14:textId="77777777" w:rsidR="005213D6" w:rsidRDefault="005213D6">
      <w:pPr>
        <w:spacing w:after="0"/>
        <w:ind w:left="284"/>
        <w:rPr>
          <w:b/>
          <w:bCs/>
          <w:sz w:val="16"/>
          <w:szCs w:val="16"/>
        </w:rPr>
      </w:pPr>
    </w:p>
    <w:p w14:paraId="7A587718" w14:textId="77777777" w:rsidR="005213D6" w:rsidRDefault="002D187E">
      <w:pPr>
        <w:numPr>
          <w:ilvl w:val="0"/>
          <w:numId w:val="4"/>
        </w:numPr>
        <w:spacing w:after="0"/>
        <w:ind w:left="284" w:hanging="709"/>
        <w:jc w:val="both"/>
        <w:rPr>
          <w:sz w:val="16"/>
          <w:szCs w:val="16"/>
        </w:rPr>
      </w:pPr>
      <w:r>
        <w:rPr>
          <w:b/>
          <w:bCs/>
          <w:sz w:val="20"/>
          <w:szCs w:val="20"/>
        </w:rPr>
        <w:t xml:space="preserve">Szczególne warunki dotyczące dostawy: dostawa, montaż, instalacja, uruchomienie </w:t>
      </w:r>
      <w:r>
        <w:rPr>
          <w:b/>
          <w:bCs/>
          <w:sz w:val="20"/>
          <w:szCs w:val="20"/>
        </w:rPr>
        <w:br/>
        <w:t xml:space="preserve">i instruktaż oraz sprawdzenie poprawności działania w miejscu wyznaczonym przez Zamawiającego* </w:t>
      </w:r>
    </w:p>
    <w:p w14:paraId="2EDDC47D" w14:textId="602A5F3F" w:rsidR="005213D6" w:rsidRDefault="002D187E">
      <w:pPr>
        <w:numPr>
          <w:ilvl w:val="0"/>
          <w:numId w:val="6"/>
        </w:numPr>
        <w:spacing w:after="0"/>
        <w:jc w:val="both"/>
        <w:rPr>
          <w:sz w:val="20"/>
          <w:szCs w:val="20"/>
        </w:rPr>
      </w:pPr>
      <w:r>
        <w:rPr>
          <w:sz w:val="20"/>
          <w:szCs w:val="20"/>
          <w:u w:val="single"/>
        </w:rPr>
        <w:t>Czynności przygotowawcze:</w:t>
      </w:r>
      <w:r>
        <w:rPr>
          <w:sz w:val="20"/>
          <w:szCs w:val="20"/>
        </w:rPr>
        <w:t xml:space="preserve"> W terminie do </w:t>
      </w:r>
      <w:r>
        <w:rPr>
          <w:b/>
          <w:bCs/>
          <w:sz w:val="20"/>
          <w:szCs w:val="20"/>
        </w:rPr>
        <w:t>2 tygodni od zawarcia umowy</w:t>
      </w:r>
      <w:r>
        <w:rPr>
          <w:sz w:val="20"/>
          <w:szCs w:val="20"/>
        </w:rPr>
        <w:t xml:space="preserve"> Wykonawca przekaże Zamawiającemu warunki przyłączeniowe dla dostarczanego systemu, obejmujące w szczególności wymagania dotyczące zasilania, zabezpieczeń oraz innych mediów niezbędnych do instalacji i uruchomienia urządzeń. Zamawiający umożliwi przeprowadzenie </w:t>
      </w:r>
      <w:r w:rsidR="00103612">
        <w:rPr>
          <w:sz w:val="20"/>
          <w:szCs w:val="20"/>
        </w:rPr>
        <w:t>oględzin</w:t>
      </w:r>
      <w:r>
        <w:rPr>
          <w:sz w:val="20"/>
          <w:szCs w:val="20"/>
        </w:rPr>
        <w:t xml:space="preserve"> w miejscu planowanej instalacji urządzeń przed przekazaniem warunków przyłączeniowych.</w:t>
      </w:r>
    </w:p>
    <w:p w14:paraId="0CC7B120" w14:textId="77777777" w:rsidR="005213D6" w:rsidRDefault="002D187E">
      <w:pPr>
        <w:numPr>
          <w:ilvl w:val="0"/>
          <w:numId w:val="6"/>
        </w:numPr>
        <w:spacing w:after="0"/>
        <w:jc w:val="both"/>
        <w:rPr>
          <w:sz w:val="20"/>
          <w:szCs w:val="20"/>
        </w:rPr>
      </w:pPr>
      <w:r>
        <w:rPr>
          <w:sz w:val="20"/>
          <w:szCs w:val="20"/>
          <w:u w:val="single"/>
        </w:rPr>
        <w:t>Dostawa i instalacja:</w:t>
      </w:r>
      <w:r>
        <w:rPr>
          <w:sz w:val="20"/>
          <w:szCs w:val="20"/>
        </w:rPr>
        <w:t xml:space="preserve"> Przed planowaną dostawą Wykonawca poinformuje Zamawiającego o terminie dostawy z wyprzedzeniem co najmniej </w:t>
      </w:r>
      <w:r>
        <w:rPr>
          <w:b/>
          <w:bCs/>
          <w:sz w:val="20"/>
          <w:szCs w:val="20"/>
        </w:rPr>
        <w:t>10  dni</w:t>
      </w:r>
      <w:r>
        <w:rPr>
          <w:sz w:val="20"/>
          <w:szCs w:val="20"/>
        </w:rPr>
        <w:t xml:space="preserve">. Dostawa, rozładunek, wniesienie oraz instalacja systemu muszą zostać zrealizowane wyłącznie siłami Wykonawcy. Nie dopuszcza się realizacji dostawy w formie przesyłek kurierskich. Ze względu na wartości napięć i prądów roboczych, uruchomienie urządzenia oraz jego podstawowych komponentów dostarczanych w ramach zamówienia musi zostać przeprowadzone z udziałem przedstawiciela producenta lub osoby przez niego upoważnionej. </w:t>
      </w:r>
    </w:p>
    <w:p w14:paraId="63E2D790" w14:textId="77777777" w:rsidR="005213D6" w:rsidRDefault="002D187E">
      <w:pPr>
        <w:numPr>
          <w:ilvl w:val="0"/>
          <w:numId w:val="2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Wykonawca odpowiada za*:</w:t>
      </w:r>
    </w:p>
    <w:p w14:paraId="10749F55" w14:textId="77777777" w:rsidR="005213D6" w:rsidRDefault="002D187E">
      <w:pPr>
        <w:numPr>
          <w:ilvl w:val="0"/>
          <w:numId w:val="5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kompletność dostawy,</w:t>
      </w:r>
    </w:p>
    <w:p w14:paraId="6511488F" w14:textId="77777777" w:rsidR="005213D6" w:rsidRDefault="002D187E">
      <w:pPr>
        <w:numPr>
          <w:ilvl w:val="0"/>
          <w:numId w:val="5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podłączenie urządzeń do wcześniej przygotowanych instalacji,</w:t>
      </w:r>
    </w:p>
    <w:p w14:paraId="63197721" w14:textId="77777777" w:rsidR="005213D6" w:rsidRDefault="002D187E">
      <w:pPr>
        <w:numPr>
          <w:ilvl w:val="0"/>
          <w:numId w:val="5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instalację w miejscu wskazanym przez Zamawiającego, spełniającym wymagania przyłączeniowe,</w:t>
      </w:r>
    </w:p>
    <w:p w14:paraId="62FC1D61" w14:textId="77777777" w:rsidR="005213D6" w:rsidRDefault="002D187E">
      <w:pPr>
        <w:numPr>
          <w:ilvl w:val="0"/>
          <w:numId w:val="5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instalację i konfigurację oprogramowania w zakresie niezbędnym do uruchomienia i eksploatacji dostarczonego źródła zasilania,</w:t>
      </w:r>
    </w:p>
    <w:p w14:paraId="7CFFFDC2" w14:textId="77777777" w:rsidR="005213D6" w:rsidRDefault="002D187E">
      <w:pPr>
        <w:numPr>
          <w:ilvl w:val="0"/>
          <w:numId w:val="5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uporządkowanie miejsca instalacji oraz usunięcie opakowań,</w:t>
      </w:r>
    </w:p>
    <w:p w14:paraId="03B6EE6C" w14:textId="77777777" w:rsidR="005213D6" w:rsidRDefault="002D187E">
      <w:pPr>
        <w:numPr>
          <w:ilvl w:val="0"/>
          <w:numId w:val="5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przeprowadzenie testów funkcjonalnych i bezpieczeństwa dostarczonego źródła zasilania po instalacji,</w:t>
      </w:r>
    </w:p>
    <w:p w14:paraId="1BE54AED" w14:textId="77777777" w:rsidR="005213D6" w:rsidRDefault="002D187E">
      <w:pPr>
        <w:numPr>
          <w:ilvl w:val="0"/>
          <w:numId w:val="5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przeprowadzenie instruktażu po zakończonym uruchomieniu i testach</w:t>
      </w:r>
    </w:p>
    <w:p w14:paraId="46782796" w14:textId="77777777" w:rsidR="005213D6" w:rsidRDefault="002D187E">
      <w:pPr>
        <w:spacing w:after="0" w:line="240" w:lineRule="auto"/>
        <w:ind w:left="1440"/>
        <w:jc w:val="both"/>
        <w:rPr>
          <w:b/>
          <w:bCs/>
          <w:sz w:val="20"/>
          <w:szCs w:val="20"/>
        </w:rPr>
      </w:pPr>
      <w:r>
        <w:rPr>
          <w:sz w:val="20"/>
          <w:szCs w:val="20"/>
        </w:rPr>
        <w:t xml:space="preserve">* Instalacja, uruchomienie systemu, testy i instruktaż powinny zostać przeprowadzone </w:t>
      </w:r>
      <w:r>
        <w:rPr>
          <w:b/>
          <w:bCs/>
          <w:sz w:val="20"/>
          <w:szCs w:val="20"/>
        </w:rPr>
        <w:t>w terminie do 2 tygodni od daty dostawy.</w:t>
      </w:r>
    </w:p>
    <w:p w14:paraId="0A9375E5" w14:textId="77777777" w:rsidR="005213D6" w:rsidRDefault="002D187E">
      <w:pPr>
        <w:numPr>
          <w:ilvl w:val="0"/>
          <w:numId w:val="2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Zamawiający:</w:t>
      </w:r>
    </w:p>
    <w:p w14:paraId="561E81D8" w14:textId="5494D285" w:rsidR="005213D6" w:rsidRDefault="002D187E">
      <w:pPr>
        <w:numPr>
          <w:ilvl w:val="0"/>
          <w:numId w:val="7"/>
        </w:numPr>
        <w:spacing w:after="0" w:line="25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umożliwi przeprowadzenie </w:t>
      </w:r>
      <w:r w:rsidR="00103612">
        <w:rPr>
          <w:sz w:val="20"/>
          <w:szCs w:val="20"/>
        </w:rPr>
        <w:t>oględzin</w:t>
      </w:r>
      <w:r>
        <w:rPr>
          <w:sz w:val="20"/>
          <w:szCs w:val="20"/>
        </w:rPr>
        <w:t xml:space="preserve"> w miejscu potencjalnej instalacji urządzenia przed dokonaniem przekazania warunków technicznych,</w:t>
      </w:r>
    </w:p>
    <w:p w14:paraId="6B682963" w14:textId="77777777" w:rsidR="005213D6" w:rsidRDefault="002D187E">
      <w:pPr>
        <w:numPr>
          <w:ilvl w:val="0"/>
          <w:numId w:val="7"/>
        </w:numPr>
        <w:spacing w:after="0" w:line="256" w:lineRule="auto"/>
        <w:jc w:val="both"/>
        <w:rPr>
          <w:sz w:val="20"/>
          <w:szCs w:val="20"/>
        </w:rPr>
      </w:pPr>
      <w:r>
        <w:rPr>
          <w:sz w:val="20"/>
          <w:szCs w:val="20"/>
        </w:rPr>
        <w:t>udostępni 2 wózki paletowo-widłowe (ręczne, udźwig 1 tona),</w:t>
      </w:r>
    </w:p>
    <w:p w14:paraId="1608A6B7" w14:textId="77777777" w:rsidR="005213D6" w:rsidRDefault="002D187E">
      <w:pPr>
        <w:numPr>
          <w:ilvl w:val="0"/>
          <w:numId w:val="7"/>
        </w:numPr>
        <w:spacing w:after="0" w:line="256" w:lineRule="auto"/>
        <w:jc w:val="both"/>
        <w:rPr>
          <w:sz w:val="20"/>
          <w:szCs w:val="20"/>
        </w:rPr>
      </w:pPr>
      <w:r>
        <w:rPr>
          <w:sz w:val="20"/>
          <w:szCs w:val="20"/>
        </w:rPr>
        <w:t>umożliwi przechowanie w zadaszonym, zabezpieczonym pomieszczeniu dostarczonego urządzenia na okres pomiędzy dostawą a instalacją,</w:t>
      </w:r>
    </w:p>
    <w:p w14:paraId="64F075BF" w14:textId="780FF0B9" w:rsidR="005213D6" w:rsidRDefault="002D187E">
      <w:pPr>
        <w:numPr>
          <w:ilvl w:val="0"/>
          <w:numId w:val="7"/>
        </w:numPr>
        <w:spacing w:after="0" w:line="25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zapewni media wskazane przez dostawcę w warunkach przyłączeniowych na ustalonym podczas </w:t>
      </w:r>
      <w:r w:rsidR="005719B3">
        <w:rPr>
          <w:sz w:val="20"/>
          <w:szCs w:val="20"/>
        </w:rPr>
        <w:t>oględzin na</w:t>
      </w:r>
      <w:r>
        <w:rPr>
          <w:sz w:val="20"/>
          <w:szCs w:val="20"/>
        </w:rPr>
        <w:t xml:space="preserve"> miejscu.</w:t>
      </w:r>
    </w:p>
    <w:p w14:paraId="77E21439" w14:textId="77777777" w:rsidR="005213D6" w:rsidRDefault="002D187E">
      <w:pPr>
        <w:numPr>
          <w:ilvl w:val="0"/>
          <w:numId w:val="4"/>
        </w:numPr>
        <w:spacing w:after="0"/>
        <w:ind w:left="284" w:hanging="709"/>
        <w:jc w:val="both"/>
        <w:rPr>
          <w:sz w:val="16"/>
          <w:szCs w:val="16"/>
        </w:rPr>
      </w:pPr>
      <w:r>
        <w:rPr>
          <w:b/>
          <w:bCs/>
          <w:sz w:val="20"/>
          <w:szCs w:val="20"/>
        </w:rPr>
        <w:lastRenderedPageBreak/>
        <w:t xml:space="preserve"> Opis przedmiotu zamówienia został sporządzony z uwzględnieniem wymagań w zakresie dostępności dla osób niepełnosprawnych lub projektowania z przeznaczeniem dla wszystkich użytkowników.</w:t>
      </w:r>
    </w:p>
    <w:p w14:paraId="372EC7DE" w14:textId="77777777" w:rsidR="005213D6" w:rsidRDefault="002D187E">
      <w:pPr>
        <w:spacing w:before="120" w:after="0"/>
        <w:ind w:left="420"/>
        <w:jc w:val="both"/>
        <w:rPr>
          <w:sz w:val="16"/>
          <w:szCs w:val="16"/>
        </w:rPr>
      </w:pPr>
      <w:r>
        <w:rPr>
          <w:sz w:val="20"/>
          <w:szCs w:val="20"/>
        </w:rPr>
        <w:t>Zamawiający wymaga, aby przedmiot zamówienia został zrealizowany zgodnie z Wytycznymi dotyczącymi realizacji zasad równościowych w ramach funduszy unijnych na lata 2021-2027, dotyczących zasady równości szans i niedyskryminacji, w tym dostępności dla osób z niepełnosprawnościami oraz zasady równości kobiet i mężczyzn, w tym przestrzegania Konwencji o prawach osób niepełnosprawnych sporządzonej w Nowym Jorku dnia 13 grudnia 2006 r. oraz Karty Praw Podstawowych Unii Europejskiej z dnia 26 października 2012 r.</w:t>
      </w:r>
    </w:p>
    <w:p w14:paraId="18B65E8D" w14:textId="77777777" w:rsidR="005213D6" w:rsidRDefault="005213D6">
      <w:pPr>
        <w:spacing w:after="0"/>
        <w:rPr>
          <w:b/>
          <w:bCs/>
          <w:sz w:val="10"/>
          <w:szCs w:val="10"/>
        </w:rPr>
      </w:pPr>
    </w:p>
    <w:p w14:paraId="275604F7" w14:textId="77777777" w:rsidR="005213D6" w:rsidRDefault="002D187E">
      <w:pPr>
        <w:numPr>
          <w:ilvl w:val="0"/>
          <w:numId w:val="4"/>
        </w:numPr>
        <w:spacing w:after="0"/>
        <w:ind w:left="425" w:hanging="850"/>
        <w:rPr>
          <w:sz w:val="16"/>
          <w:szCs w:val="16"/>
        </w:rPr>
      </w:pPr>
      <w:r>
        <w:rPr>
          <w:b/>
          <w:bCs/>
          <w:sz w:val="20"/>
          <w:szCs w:val="20"/>
        </w:rPr>
        <w:t>Nazwa Wydziału / Numer pozycji w zestawieniu: Wydział Informatyki i Telekomunikacji / poz. 56 Generator do badania tętnień powstających w magazynach energii.</w:t>
      </w:r>
    </w:p>
    <w:p w14:paraId="2A0944FC" w14:textId="77777777" w:rsidR="005213D6" w:rsidRDefault="005213D6">
      <w:pPr>
        <w:spacing w:after="0" w:line="240" w:lineRule="auto"/>
        <w:ind w:left="280"/>
        <w:rPr>
          <w:b/>
          <w:bCs/>
          <w:sz w:val="20"/>
          <w:szCs w:val="20"/>
        </w:rPr>
      </w:pPr>
    </w:p>
    <w:p w14:paraId="40A83570" w14:textId="77777777" w:rsidR="005213D6" w:rsidRDefault="002D187E">
      <w:pPr>
        <w:spacing w:after="0" w:line="240" w:lineRule="auto"/>
        <w:ind w:left="28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Kalkulacja ceny dla urządzenia zgodnie ze specyfikacją techniczną</w:t>
      </w:r>
    </w:p>
    <w:p w14:paraId="1016E4E1" w14:textId="77777777" w:rsidR="005213D6" w:rsidRDefault="005213D6">
      <w:pPr>
        <w:spacing w:after="0" w:line="240" w:lineRule="auto"/>
        <w:ind w:left="280"/>
        <w:rPr>
          <w:sz w:val="24"/>
          <w:szCs w:val="24"/>
        </w:rPr>
      </w:pPr>
    </w:p>
    <w:tbl>
      <w:tblPr>
        <w:tblStyle w:val="af"/>
        <w:tblW w:w="905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658"/>
        <w:gridCol w:w="3362"/>
        <w:gridCol w:w="936"/>
        <w:gridCol w:w="4100"/>
      </w:tblGrid>
      <w:tr w:rsidR="005213D6" w14:paraId="1596714E" w14:textId="77777777">
        <w:trPr>
          <w:trHeight w:val="480"/>
        </w:trPr>
        <w:tc>
          <w:tcPr>
            <w:tcW w:w="658" w:type="dxa"/>
            <w:tcBorders>
              <w:top w:val="single" w:sz="6" w:space="0" w:color="999999"/>
              <w:left w:val="single" w:sz="6" w:space="0" w:color="999999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574163" w14:textId="77777777" w:rsidR="005213D6" w:rsidRDefault="002D187E">
            <w:pPr>
              <w:spacing w:after="0" w:line="240" w:lineRule="auto"/>
              <w:ind w:left="280"/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lp</w:t>
            </w:r>
          </w:p>
        </w:tc>
        <w:tc>
          <w:tcPr>
            <w:tcW w:w="3362" w:type="dxa"/>
            <w:tcBorders>
              <w:top w:val="single" w:sz="6" w:space="0" w:color="999999"/>
              <w:left w:val="single" w:sz="6" w:space="0" w:color="999999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744EE8" w14:textId="77777777" w:rsidR="005213D6" w:rsidRDefault="002D187E">
            <w:pPr>
              <w:spacing w:after="0" w:line="240" w:lineRule="auto"/>
              <w:ind w:left="280"/>
            </w:pPr>
            <w:r>
              <w:rPr>
                <w:b/>
                <w:bCs/>
                <w:sz w:val="18"/>
                <w:szCs w:val="18"/>
              </w:rPr>
              <w:t>Urządzenie z oprogramowaniem,</w:t>
            </w:r>
          </w:p>
        </w:tc>
        <w:tc>
          <w:tcPr>
            <w:tcW w:w="936" w:type="dxa"/>
            <w:tcBorders>
              <w:top w:val="single" w:sz="6" w:space="0" w:color="999999"/>
              <w:left w:val="single" w:sz="6" w:space="0" w:color="999999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03C8E4" w14:textId="77777777" w:rsidR="005213D6" w:rsidRDefault="002D187E">
            <w:pPr>
              <w:spacing w:after="0" w:line="240" w:lineRule="auto"/>
              <w:ind w:left="280"/>
            </w:pPr>
            <w:r>
              <w:rPr>
                <w:b/>
                <w:bCs/>
                <w:sz w:val="18"/>
                <w:szCs w:val="18"/>
              </w:rPr>
              <w:t>Ilość</w:t>
            </w:r>
          </w:p>
        </w:tc>
        <w:tc>
          <w:tcPr>
            <w:tcW w:w="4100" w:type="dxa"/>
            <w:tcBorders>
              <w:top w:val="single" w:sz="6" w:space="0" w:color="999999"/>
              <w:left w:val="single" w:sz="6" w:space="0" w:color="999999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3E858E" w14:textId="77777777" w:rsidR="005213D6" w:rsidRDefault="002D187E">
            <w:pPr>
              <w:spacing w:after="0" w:line="240" w:lineRule="auto"/>
              <w:ind w:left="280"/>
            </w:pPr>
            <w:r>
              <w:rPr>
                <w:b/>
                <w:bCs/>
                <w:sz w:val="18"/>
                <w:szCs w:val="18"/>
              </w:rPr>
              <w:t>Cena jednostkowa netto</w:t>
            </w:r>
          </w:p>
        </w:tc>
      </w:tr>
      <w:tr w:rsidR="005213D6" w14:paraId="1CE68293" w14:textId="77777777">
        <w:trPr>
          <w:trHeight w:val="639"/>
        </w:trPr>
        <w:tc>
          <w:tcPr>
            <w:tcW w:w="658" w:type="dxa"/>
            <w:tcBorders>
              <w:top w:val="single" w:sz="12" w:space="0" w:color="666666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857336" w14:textId="77777777" w:rsidR="005213D6" w:rsidRDefault="002D187E">
            <w:pPr>
              <w:spacing w:after="0" w:line="240" w:lineRule="auto"/>
              <w:ind w:left="280"/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362" w:type="dxa"/>
            <w:tcBorders>
              <w:top w:val="single" w:sz="12" w:space="0" w:color="666666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A1A918" w14:textId="77777777" w:rsidR="005213D6" w:rsidRDefault="002D187E">
            <w:pPr>
              <w:spacing w:after="0" w:line="240" w:lineRule="auto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Źródło zasilania laboratoryjnego z możliwością odbioru energii</w:t>
            </w:r>
          </w:p>
          <w:p w14:paraId="05E0ECB1" w14:textId="77777777" w:rsidR="005213D6" w:rsidRDefault="005213D6">
            <w:pPr>
              <w:spacing w:after="0" w:line="240" w:lineRule="auto"/>
              <w:ind w:left="280"/>
              <w:rPr>
                <w:sz w:val="24"/>
                <w:szCs w:val="24"/>
              </w:rPr>
            </w:pPr>
          </w:p>
        </w:tc>
        <w:tc>
          <w:tcPr>
            <w:tcW w:w="936" w:type="dxa"/>
            <w:tcBorders>
              <w:top w:val="single" w:sz="12" w:space="0" w:color="666666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E4F627" w14:textId="77777777" w:rsidR="005213D6" w:rsidRDefault="002D187E">
            <w:pPr>
              <w:spacing w:after="0" w:line="240" w:lineRule="auto"/>
              <w:ind w:left="280"/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100" w:type="dxa"/>
            <w:tcBorders>
              <w:top w:val="single" w:sz="12" w:space="0" w:color="666666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C40452" w14:textId="77777777" w:rsidR="005213D6" w:rsidRDefault="002D187E">
            <w:pPr>
              <w:spacing w:after="0" w:line="240" w:lineRule="auto"/>
              <w:ind w:left="280"/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,     zł</w:t>
            </w:r>
          </w:p>
        </w:tc>
      </w:tr>
      <w:tr w:rsidR="005213D6" w14:paraId="15AB7987" w14:textId="77777777">
        <w:trPr>
          <w:trHeight w:val="465"/>
        </w:trPr>
        <w:tc>
          <w:tcPr>
            <w:tcW w:w="4956" w:type="dxa"/>
            <w:gridSpan w:val="3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2C1180" w14:textId="77777777" w:rsidR="005213D6" w:rsidRDefault="002D187E">
            <w:pPr>
              <w:spacing w:after="0" w:line="240" w:lineRule="auto"/>
              <w:ind w:left="280"/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                                                             </w:t>
            </w:r>
          </w:p>
          <w:p w14:paraId="7FA83C01" w14:textId="77777777" w:rsidR="005213D6" w:rsidRDefault="002D187E">
            <w:pPr>
              <w:spacing w:after="0" w:line="240" w:lineRule="auto"/>
              <w:ind w:left="280"/>
              <w:jc w:val="right"/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Wartość ogółem netto</w:t>
            </w:r>
          </w:p>
        </w:tc>
        <w:tc>
          <w:tcPr>
            <w:tcW w:w="410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12F0C4" w14:textId="77777777" w:rsidR="005213D6" w:rsidRDefault="002D187E">
            <w:pPr>
              <w:spacing w:after="0" w:line="240" w:lineRule="auto"/>
              <w:ind w:left="280"/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,     zł</w:t>
            </w:r>
          </w:p>
        </w:tc>
      </w:tr>
      <w:tr w:rsidR="005213D6" w14:paraId="2CF3A2CE" w14:textId="77777777">
        <w:trPr>
          <w:trHeight w:val="480"/>
        </w:trPr>
        <w:tc>
          <w:tcPr>
            <w:tcW w:w="4956" w:type="dxa"/>
            <w:gridSpan w:val="3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62004A" w14:textId="77777777" w:rsidR="005213D6" w:rsidRDefault="002D187E">
            <w:pPr>
              <w:spacing w:before="240" w:after="0" w:line="240" w:lineRule="auto"/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  <w:p w14:paraId="40B20554" w14:textId="77777777" w:rsidR="005213D6" w:rsidRDefault="002D187E">
            <w:pPr>
              <w:spacing w:after="0" w:line="240" w:lineRule="auto"/>
              <w:ind w:left="280"/>
              <w:jc w:val="right"/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Wartość VAT (23%)</w:t>
            </w:r>
          </w:p>
        </w:tc>
        <w:tc>
          <w:tcPr>
            <w:tcW w:w="4100" w:type="dxa"/>
            <w:tcBorders>
              <w:top w:val="single" w:sz="6" w:space="0" w:color="999999"/>
              <w:left w:val="single" w:sz="6" w:space="0" w:color="000000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833778" w14:textId="77777777" w:rsidR="005213D6" w:rsidRDefault="002D187E">
            <w:pPr>
              <w:spacing w:after="0" w:line="240" w:lineRule="auto"/>
              <w:ind w:left="280"/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,     zł</w:t>
            </w:r>
          </w:p>
        </w:tc>
      </w:tr>
      <w:tr w:rsidR="005213D6" w14:paraId="54FDCAAD" w14:textId="77777777">
        <w:trPr>
          <w:trHeight w:val="1155"/>
        </w:trPr>
        <w:tc>
          <w:tcPr>
            <w:tcW w:w="4956" w:type="dxa"/>
            <w:gridSpan w:val="3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B972C2" w14:textId="77777777" w:rsidR="005213D6" w:rsidRDefault="002D187E">
            <w:pPr>
              <w:spacing w:before="240" w:after="0" w:line="240" w:lineRule="auto"/>
              <w:jc w:val="right"/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Cena ogółem brutto</w:t>
            </w:r>
            <w:r>
              <w:rPr>
                <w:b/>
                <w:bCs/>
                <w:sz w:val="20"/>
                <w:szCs w:val="20"/>
              </w:rPr>
              <w:br/>
              <w:t xml:space="preserve"> (wartość netto + wartość VAT):</w:t>
            </w:r>
          </w:p>
        </w:tc>
        <w:tc>
          <w:tcPr>
            <w:tcW w:w="4100" w:type="dxa"/>
            <w:tcBorders>
              <w:top w:val="single" w:sz="6" w:space="0" w:color="999999"/>
              <w:left w:val="single" w:sz="6" w:space="0" w:color="000000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743F9C" w14:textId="77777777" w:rsidR="005213D6" w:rsidRDefault="002D187E">
            <w:pPr>
              <w:spacing w:after="0" w:line="240" w:lineRule="auto"/>
              <w:ind w:left="40" w:firstLine="260"/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,     zł</w:t>
            </w:r>
            <w:r>
              <w:rPr>
                <w:b/>
                <w:bCs/>
                <w:sz w:val="20"/>
                <w:szCs w:val="20"/>
              </w:rPr>
              <w:br/>
              <w:t xml:space="preserve"> </w:t>
            </w:r>
            <w:r>
              <w:rPr>
                <w:b/>
                <w:bCs/>
                <w:i/>
                <w:iCs/>
                <w:sz w:val="20"/>
                <w:szCs w:val="20"/>
              </w:rPr>
              <w:t>(cena ofertowa – kwotę należy wpisać do formularza ofertowego)</w:t>
            </w:r>
          </w:p>
          <w:p w14:paraId="58B93A48" w14:textId="77777777" w:rsidR="005213D6" w:rsidRDefault="002D187E">
            <w:pPr>
              <w:spacing w:after="0" w:line="240" w:lineRule="auto"/>
              <w:ind w:left="280"/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</w:tr>
    </w:tbl>
    <w:p w14:paraId="0E208A58" w14:textId="77777777" w:rsidR="005719B3" w:rsidRDefault="005719B3" w:rsidP="005719B3">
      <w:pPr>
        <w:spacing w:after="0"/>
        <w:rPr>
          <w:b/>
          <w:bCs/>
          <w:sz w:val="10"/>
          <w:szCs w:val="10"/>
        </w:rPr>
      </w:pPr>
    </w:p>
    <w:p w14:paraId="11680DFD" w14:textId="77777777" w:rsidR="005719B3" w:rsidRDefault="005719B3" w:rsidP="005719B3">
      <w:pPr>
        <w:spacing w:after="0" w:line="240" w:lineRule="auto"/>
        <w:rPr>
          <w:b/>
          <w:bCs/>
          <w:i/>
          <w:iCs/>
          <w:sz w:val="16"/>
          <w:szCs w:val="16"/>
        </w:rPr>
      </w:pPr>
      <w:r>
        <w:rPr>
          <w:b/>
          <w:bCs/>
          <w:sz w:val="16"/>
          <w:szCs w:val="16"/>
        </w:rPr>
        <w:t>*niepotrzebne skreślić</w:t>
      </w:r>
    </w:p>
    <w:p w14:paraId="2755259E" w14:textId="7E25C407" w:rsidR="005213D6" w:rsidRDefault="005213D6">
      <w:pPr>
        <w:spacing w:after="0"/>
        <w:rPr>
          <w:b/>
          <w:bCs/>
          <w:sz w:val="20"/>
          <w:szCs w:val="20"/>
        </w:rPr>
      </w:pPr>
    </w:p>
    <w:p w14:paraId="4CD3BC68" w14:textId="77777777" w:rsidR="005719B3" w:rsidRPr="00F55696" w:rsidRDefault="005719B3" w:rsidP="005719B3">
      <w:pPr>
        <w:tabs>
          <w:tab w:val="left" w:pos="540"/>
          <w:tab w:val="left" w:pos="780"/>
        </w:tabs>
        <w:ind w:left="-567" w:right="-428"/>
        <w:jc w:val="center"/>
        <w:rPr>
          <w:rFonts w:ascii="Arial" w:hAnsi="Arial" w:cs="Arial"/>
          <w:sz w:val="16"/>
          <w:szCs w:val="18"/>
        </w:rPr>
      </w:pPr>
      <w:r w:rsidRPr="00F47EA9">
        <w:rPr>
          <w:rFonts w:ascii="Arial" w:hAnsi="Arial" w:cs="Arial"/>
          <w:b/>
          <w:sz w:val="16"/>
          <w:szCs w:val="18"/>
          <w:highlight w:val="yellow"/>
        </w:rPr>
        <w:t>Oferta</w:t>
      </w:r>
      <w:r w:rsidRPr="00F47EA9">
        <w:rPr>
          <w:rFonts w:ascii="Arial" w:hAnsi="Arial" w:cs="Arial"/>
          <w:sz w:val="16"/>
          <w:szCs w:val="18"/>
          <w:highlight w:val="yellow"/>
        </w:rPr>
        <w:t xml:space="preserve"> </w:t>
      </w:r>
      <w:r w:rsidRPr="00F47EA9">
        <w:rPr>
          <w:rFonts w:ascii="Arial" w:hAnsi="Arial" w:cs="Arial"/>
          <w:b/>
          <w:sz w:val="16"/>
          <w:szCs w:val="18"/>
          <w:highlight w:val="yellow"/>
        </w:rPr>
        <w:t>powinna</w:t>
      </w:r>
      <w:r w:rsidRPr="00F47EA9">
        <w:rPr>
          <w:rFonts w:ascii="Arial" w:hAnsi="Arial" w:cs="Arial"/>
          <w:sz w:val="16"/>
          <w:szCs w:val="18"/>
          <w:highlight w:val="yellow"/>
        </w:rPr>
        <w:t xml:space="preserve"> </w:t>
      </w:r>
      <w:r w:rsidRPr="00F47EA9">
        <w:rPr>
          <w:rFonts w:ascii="Arial" w:hAnsi="Arial" w:cs="Arial"/>
          <w:b/>
          <w:sz w:val="16"/>
          <w:szCs w:val="18"/>
          <w:highlight w:val="yellow"/>
        </w:rPr>
        <w:t>być sporządzona</w:t>
      </w:r>
      <w:r w:rsidRPr="00F47EA9">
        <w:rPr>
          <w:rFonts w:ascii="Arial" w:hAnsi="Arial" w:cs="Arial"/>
          <w:sz w:val="16"/>
          <w:szCs w:val="18"/>
          <w:highlight w:val="yellow"/>
        </w:rPr>
        <w:t xml:space="preserve"> </w:t>
      </w:r>
      <w:r w:rsidRPr="00F47EA9">
        <w:rPr>
          <w:rFonts w:ascii="Arial" w:hAnsi="Arial" w:cs="Arial"/>
          <w:b/>
          <w:sz w:val="16"/>
          <w:szCs w:val="18"/>
          <w:highlight w:val="yellow"/>
        </w:rPr>
        <w:t>w języku polskim, z zachowaniem postaci elektronicznej</w:t>
      </w:r>
      <w:r>
        <w:rPr>
          <w:rFonts w:ascii="Arial" w:hAnsi="Arial" w:cs="Arial"/>
          <w:b/>
          <w:sz w:val="16"/>
          <w:szCs w:val="18"/>
          <w:highlight w:val="yellow"/>
        </w:rPr>
        <w:br/>
      </w:r>
      <w:r w:rsidRPr="00F47EA9">
        <w:rPr>
          <w:rFonts w:ascii="Arial" w:hAnsi="Arial" w:cs="Arial"/>
          <w:b/>
          <w:sz w:val="16"/>
          <w:szCs w:val="18"/>
          <w:highlight w:val="yellow"/>
        </w:rPr>
        <w:t xml:space="preserve"> i podpisana kwalifikowanym</w:t>
      </w:r>
      <w:r>
        <w:rPr>
          <w:rFonts w:ascii="Arial" w:hAnsi="Arial" w:cs="Arial"/>
          <w:b/>
          <w:sz w:val="16"/>
          <w:szCs w:val="18"/>
          <w:highlight w:val="yellow"/>
        </w:rPr>
        <w:t xml:space="preserve"> </w:t>
      </w:r>
      <w:r w:rsidRPr="00F47EA9">
        <w:rPr>
          <w:rFonts w:ascii="Arial" w:hAnsi="Arial" w:cs="Arial"/>
          <w:b/>
          <w:sz w:val="16"/>
          <w:szCs w:val="18"/>
          <w:highlight w:val="yellow"/>
        </w:rPr>
        <w:t>podpisem elektronicznym</w:t>
      </w:r>
      <w:r>
        <w:rPr>
          <w:rFonts w:ascii="Arial" w:hAnsi="Arial" w:cs="Arial"/>
          <w:b/>
          <w:sz w:val="16"/>
          <w:szCs w:val="18"/>
        </w:rPr>
        <w:t>.</w:t>
      </w:r>
    </w:p>
    <w:p w14:paraId="0890DEEA" w14:textId="77777777" w:rsidR="005213D6" w:rsidRDefault="005213D6">
      <w:pPr>
        <w:spacing w:after="0"/>
        <w:rPr>
          <w:b/>
          <w:bCs/>
          <w:sz w:val="20"/>
          <w:szCs w:val="20"/>
        </w:rPr>
      </w:pPr>
    </w:p>
    <w:p w14:paraId="38C4798B" w14:textId="77777777" w:rsidR="005213D6" w:rsidRDefault="005213D6">
      <w:pPr>
        <w:spacing w:after="0"/>
        <w:rPr>
          <w:b/>
          <w:bCs/>
          <w:sz w:val="20"/>
          <w:szCs w:val="20"/>
        </w:rPr>
      </w:pPr>
    </w:p>
    <w:p w14:paraId="105328C8" w14:textId="77777777" w:rsidR="005213D6" w:rsidRDefault="005213D6">
      <w:pPr>
        <w:spacing w:after="0" w:line="240" w:lineRule="auto"/>
        <w:ind w:left="5103"/>
        <w:rPr>
          <w:b/>
          <w:bCs/>
          <w:i/>
          <w:iCs/>
          <w:sz w:val="16"/>
          <w:szCs w:val="16"/>
        </w:rPr>
      </w:pPr>
    </w:p>
    <w:p w14:paraId="61503B19" w14:textId="77777777" w:rsidR="005213D6" w:rsidRDefault="005213D6">
      <w:pPr>
        <w:spacing w:after="0" w:line="240" w:lineRule="auto"/>
        <w:ind w:left="5103"/>
        <w:rPr>
          <w:b/>
          <w:bCs/>
          <w:i/>
          <w:iCs/>
          <w:sz w:val="16"/>
          <w:szCs w:val="16"/>
        </w:rPr>
      </w:pPr>
    </w:p>
    <w:p w14:paraId="5DF821FF" w14:textId="77777777" w:rsidR="005213D6" w:rsidRDefault="005213D6">
      <w:pPr>
        <w:spacing w:after="0" w:line="240" w:lineRule="auto"/>
        <w:ind w:left="5103"/>
        <w:rPr>
          <w:b/>
          <w:bCs/>
          <w:i/>
          <w:iCs/>
          <w:sz w:val="16"/>
          <w:szCs w:val="16"/>
        </w:rPr>
      </w:pPr>
    </w:p>
    <w:p w14:paraId="3B378DEE" w14:textId="6A0F5136" w:rsidR="005213D6" w:rsidRDefault="005213D6">
      <w:pPr>
        <w:spacing w:after="0" w:line="240" w:lineRule="auto"/>
        <w:ind w:left="5103" w:firstLine="559"/>
      </w:pPr>
    </w:p>
    <w:sectPr w:rsidR="005213D6">
      <w:headerReference w:type="default" r:id="rId8"/>
      <w:pgSz w:w="11906" w:h="16838"/>
      <w:pgMar w:top="708" w:right="1417" w:bottom="1417" w:left="1417" w:header="340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307167" w14:textId="77777777" w:rsidR="002D187E" w:rsidRDefault="002D187E">
      <w:pPr>
        <w:spacing w:after="0" w:line="240" w:lineRule="auto"/>
      </w:pPr>
      <w:r>
        <w:separator/>
      </w:r>
    </w:p>
  </w:endnote>
  <w:endnote w:type="continuationSeparator" w:id="0">
    <w:p w14:paraId="209B6DD9" w14:textId="77777777" w:rsidR="002D187E" w:rsidRDefault="002D18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ACE86B6A-0059-4050-B15D-0E462E73D25B}"/>
    <w:embedBold r:id="rId2" w:fontKey="{A195B21A-E3ED-485F-9BED-59097E6667FB}"/>
    <w:embedItalic r:id="rId3" w:fontKey="{6043A826-F907-4963-8F92-8FD99563910D}"/>
    <w:embedBoldItalic r:id="rId4" w:fontKey="{B168404B-D3E7-4848-9A36-7B48630EB155}"/>
  </w:font>
  <w:font w:name="Liberation Sans">
    <w:altName w:val="Yu Gothic"/>
    <w:charset w:val="00"/>
    <w:family w:val="auto"/>
    <w:pitch w:val="default"/>
  </w:font>
  <w:font w:name="DejaVu Sans">
    <w:altName w:val="Verdana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6D3954EA-B619-4B10-8050-87234130537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D681793E-ECB1-4316-AC81-63C0FA5CA3B1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7" w:fontKey="{7CA46BCF-7022-49F3-A9BB-8410911D5A6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BC753D94-FB61-4F19-BCF5-0E3A666BD0D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731713" w14:textId="77777777" w:rsidR="002D187E" w:rsidRDefault="002D187E">
      <w:pPr>
        <w:spacing w:after="0" w:line="240" w:lineRule="auto"/>
      </w:pPr>
      <w:r>
        <w:separator/>
      </w:r>
    </w:p>
  </w:footnote>
  <w:footnote w:type="continuationSeparator" w:id="0">
    <w:p w14:paraId="6E7AF756" w14:textId="77777777" w:rsidR="002D187E" w:rsidRDefault="002D18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15E10" w14:textId="77777777" w:rsidR="005213D6" w:rsidRDefault="002D187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D817E2D" wp14:editId="3BD237E6">
          <wp:simplePos x="0" y="0"/>
          <wp:positionH relativeFrom="column">
            <wp:posOffset>30485</wp:posOffset>
          </wp:positionH>
          <wp:positionV relativeFrom="paragraph">
            <wp:posOffset>13335</wp:posOffset>
          </wp:positionV>
          <wp:extent cx="5698490" cy="784860"/>
          <wp:effectExtent l="0" t="0" r="0" b="0"/>
          <wp:wrapTopAndBottom distT="0" distB="0"/>
          <wp:docPr id="6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BD2677"/>
    <w:multiLevelType w:val="multilevel"/>
    <w:tmpl w:val="94FE7E0E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1" w15:restartNumberingAfterBreak="0">
    <w:nsid w:val="1C6A47BD"/>
    <w:multiLevelType w:val="multilevel"/>
    <w:tmpl w:val="E28A438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5892EB4"/>
    <w:multiLevelType w:val="multilevel"/>
    <w:tmpl w:val="CF1AD50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BAD18CC"/>
    <w:multiLevelType w:val="multilevel"/>
    <w:tmpl w:val="238E718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440F484F"/>
    <w:multiLevelType w:val="multilevel"/>
    <w:tmpl w:val="6FEE636A"/>
    <w:lvl w:ilvl="0">
      <w:start w:val="1"/>
      <w:numFmt w:val="upperRoman"/>
      <w:lvlText w:val="%1."/>
      <w:lvlJc w:val="left"/>
      <w:pPr>
        <w:ind w:left="1080" w:hanging="1505"/>
      </w:pPr>
      <w:rPr>
        <w:rFonts w:ascii="Arial" w:eastAsia="Arial" w:hAnsi="Arial" w:cs="Arial"/>
        <w:b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86258F"/>
    <w:multiLevelType w:val="multilevel"/>
    <w:tmpl w:val="555AF28C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504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hanging="360"/>
      </w:pPr>
      <w:rPr>
        <w:u w:val="none"/>
      </w:rPr>
    </w:lvl>
  </w:abstractNum>
  <w:abstractNum w:abstractNumId="6" w15:restartNumberingAfterBreak="0">
    <w:nsid w:val="5F870A71"/>
    <w:multiLevelType w:val="multilevel"/>
    <w:tmpl w:val="5EBE15B6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num w:numId="1" w16cid:durableId="356545156">
    <w:abstractNumId w:val="3"/>
  </w:num>
  <w:num w:numId="2" w16cid:durableId="908154922">
    <w:abstractNumId w:val="5"/>
  </w:num>
  <w:num w:numId="3" w16cid:durableId="915362250">
    <w:abstractNumId w:val="2"/>
  </w:num>
  <w:num w:numId="4" w16cid:durableId="1568374272">
    <w:abstractNumId w:val="4"/>
  </w:num>
  <w:num w:numId="5" w16cid:durableId="2144812219">
    <w:abstractNumId w:val="0"/>
  </w:num>
  <w:num w:numId="6" w16cid:durableId="1420830423">
    <w:abstractNumId w:val="1"/>
  </w:num>
  <w:num w:numId="7" w16cid:durableId="124564435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13D6"/>
    <w:rsid w:val="00005864"/>
    <w:rsid w:val="00047CBF"/>
    <w:rsid w:val="00103612"/>
    <w:rsid w:val="00177FBB"/>
    <w:rsid w:val="00207791"/>
    <w:rsid w:val="002D187E"/>
    <w:rsid w:val="005213D6"/>
    <w:rsid w:val="00546035"/>
    <w:rsid w:val="005719B3"/>
    <w:rsid w:val="00DB56B1"/>
    <w:rsid w:val="00EB1E5A"/>
    <w:rsid w:val="00F46588"/>
    <w:rsid w:val="00F741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CC926F"/>
  <w15:docId w15:val="{7A5372F3-615C-4E61-81DC-DC0FE8A4BD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before="240" w:after="120"/>
      <w:ind w:left="1080" w:hanging="720"/>
      <w:outlineLvl w:val="0"/>
    </w:pPr>
    <w:rPr>
      <w:rFonts w:ascii="Liberation Sans" w:eastAsia="Liberation Sans" w:hAnsi="Liberation Sans" w:cs="Liberation Sans"/>
      <w:b/>
      <w:bCs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uiPriority w:val="99"/>
    <w:locked/>
    <w:rsid w:val="006215FA"/>
    <w:rPr>
      <w:rFonts w:ascii="Liberation Sans" w:eastAsia="Times New Roman" w:hAnsi="Liberation Sans" w:cs="DejaVu Sans"/>
      <w:b/>
      <w:bCs/>
      <w:sz w:val="32"/>
      <w:szCs w:val="32"/>
      <w:lang w:eastAsia="ar-SA" w:bidi="ar-SA"/>
    </w:rPr>
  </w:style>
  <w:style w:type="character" w:styleId="Odwoaniedokomentarza">
    <w:name w:val="annotation reference"/>
    <w:uiPriority w:val="99"/>
    <w:semiHidden/>
    <w:rsid w:val="006215FA"/>
    <w:rPr>
      <w:rFonts w:cs="Times New Roman"/>
      <w:sz w:val="16"/>
    </w:rPr>
  </w:style>
  <w:style w:type="paragraph" w:styleId="Tekstkomentarza">
    <w:name w:val="annotation text"/>
    <w:link w:val="TekstkomentarzaZnak"/>
    <w:uiPriority w:val="99"/>
    <w:semiHidden/>
    <w:rsid w:val="006215FA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6215FA"/>
    <w:rPr>
      <w:rFonts w:ascii="Calibri" w:eastAsia="Times New Roman" w:hAnsi="Calibri" w:cs="Times New Roman"/>
      <w:sz w:val="20"/>
      <w:szCs w:val="20"/>
    </w:rPr>
  </w:style>
  <w:style w:type="paragraph" w:styleId="Tekstpodstawowy">
    <w:name w:val="Body Text"/>
    <w:link w:val="TekstpodstawowyZnak"/>
    <w:uiPriority w:val="99"/>
    <w:semiHidden/>
    <w:rsid w:val="006215FA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6215FA"/>
    <w:rPr>
      <w:rFonts w:ascii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99"/>
    <w:qFormat/>
    <w:rsid w:val="006215FA"/>
    <w:rPr>
      <w:rFonts w:eastAsia="Times New Roman"/>
    </w:rPr>
  </w:style>
  <w:style w:type="paragraph" w:customStyle="1" w:styleId="naglowektekstowy">
    <w:name w:val="naglowek_tekstowy"/>
    <w:uiPriority w:val="99"/>
    <w:rsid w:val="006215F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Tekstdymka">
    <w:name w:val="Balloon Text"/>
    <w:link w:val="TekstdymkaZnak"/>
    <w:uiPriority w:val="99"/>
    <w:semiHidden/>
    <w:rsid w:val="006215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6215FA"/>
    <w:rPr>
      <w:rFonts w:ascii="Tahoma" w:eastAsia="Times New Roman" w:hAnsi="Tahoma" w:cs="Tahoma"/>
      <w:sz w:val="16"/>
      <w:szCs w:val="16"/>
    </w:rPr>
  </w:style>
  <w:style w:type="character" w:styleId="Hipercze">
    <w:name w:val="Hyperlink"/>
    <w:uiPriority w:val="99"/>
    <w:rsid w:val="006215FA"/>
    <w:rPr>
      <w:rFonts w:cs="Times New Roman"/>
      <w:color w:val="0000FF"/>
      <w:u w:val="single"/>
    </w:rPr>
  </w:style>
  <w:style w:type="character" w:styleId="Pogrubienie">
    <w:name w:val="Strong"/>
    <w:uiPriority w:val="99"/>
    <w:qFormat/>
    <w:rsid w:val="006D1326"/>
    <w:rPr>
      <w:rFonts w:cs="Times New Roman"/>
      <w:b/>
      <w:bCs/>
    </w:rPr>
  </w:style>
  <w:style w:type="paragraph" w:styleId="Akapitzlist">
    <w:name w:val="List Paragraph"/>
    <w:uiPriority w:val="99"/>
    <w:qFormat/>
    <w:rsid w:val="00CD1545"/>
    <w:pPr>
      <w:ind w:left="720"/>
      <w:contextualSpacing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8E2564"/>
    <w:pPr>
      <w:spacing w:line="240" w:lineRule="auto"/>
    </w:pPr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8E2564"/>
    <w:rPr>
      <w:rFonts w:ascii="Calibri" w:eastAsia="Times New Roman" w:hAnsi="Calibri" w:cs="Times New Roman"/>
      <w:b/>
      <w:bCs/>
      <w:sz w:val="20"/>
      <w:szCs w:val="20"/>
    </w:rPr>
  </w:style>
  <w:style w:type="paragraph" w:styleId="Nagwek">
    <w:name w:val="header"/>
    <w:link w:val="NagwekZnak"/>
    <w:uiPriority w:val="99"/>
    <w:rsid w:val="006B4A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locked/>
    <w:rsid w:val="006B4A38"/>
    <w:rPr>
      <w:rFonts w:ascii="Calibri" w:eastAsia="Times New Roman" w:hAnsi="Calibri" w:cs="Times New Roman"/>
    </w:rPr>
  </w:style>
  <w:style w:type="paragraph" w:styleId="Stopka">
    <w:name w:val="footer"/>
    <w:link w:val="StopkaZnak"/>
    <w:uiPriority w:val="99"/>
    <w:rsid w:val="006B4A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6B4A38"/>
    <w:rPr>
      <w:rFonts w:ascii="Calibri" w:eastAsia="Times New Roman" w:hAnsi="Calibri" w:cs="Times New Roman"/>
    </w:rPr>
  </w:style>
  <w:style w:type="table" w:customStyle="1" w:styleId="a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2"/>
    <w:tblPr>
      <w:tblStyleRowBandSize w:val="1"/>
      <w:tblStyleColBandSize w:val="1"/>
    </w:tblPr>
  </w:style>
  <w:style w:type="table" w:customStyle="1" w:styleId="a1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e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Poprawka">
    <w:name w:val="Revision"/>
    <w:hidden/>
    <w:uiPriority w:val="99"/>
    <w:semiHidden/>
    <w:rsid w:val="0010361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Ab6mhQZIXWLbNyEkVaPlqZDJtA==">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11</Pages>
  <Words>2882</Words>
  <Characters>17295</Characters>
  <Application>Microsoft Office Word</Application>
  <DocSecurity>0</DocSecurity>
  <Lines>144</Lines>
  <Paragraphs>40</Paragraphs>
  <ScaleCrop>false</ScaleCrop>
  <Company/>
  <LinksUpToDate>false</LinksUpToDate>
  <CharactersWithSpaces>20137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Capanidu-Pawełczyk</dc:creator>
  <cp:lastModifiedBy>Katarzyna Dusza</cp:lastModifiedBy>
  <cp:revision>6</cp:revision>
  <cp:lastPrinted>2026-02-16T12:54:00Z</cp:lastPrinted>
  <dcterms:created xsi:type="dcterms:W3CDTF">2026-02-11T12:32:00Z</dcterms:created>
  <dcterms:modified xsi:type="dcterms:W3CDTF">2026-02-19T08:20:00Z</dcterms:modified>
</cp:coreProperties>
</file>